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431D7" w14:textId="77777777" w:rsidR="00D947B6" w:rsidRPr="00D947B6" w:rsidRDefault="00D947B6" w:rsidP="00D947B6">
      <w:pPr>
        <w:pBdr>
          <w:bottom w:val="single" w:sz="4" w:space="0" w:color="auto"/>
        </w:pBdr>
        <w:rPr>
          <w:rFonts w:cstheme="majorHAnsi"/>
          <w:b/>
          <w:color w:val="FF0000"/>
          <w:sz w:val="28"/>
          <w:szCs w:val="28"/>
        </w:rPr>
      </w:pPr>
    </w:p>
    <w:p w14:paraId="7389011C" w14:textId="2FC3252F" w:rsidR="00D947B6" w:rsidRPr="0042554B" w:rsidRDefault="00D947B6" w:rsidP="00D947B6">
      <w:pPr>
        <w:rPr>
          <w:rFonts w:cstheme="majorHAnsi"/>
          <w:b/>
          <w:color w:val="FF0000"/>
          <w:sz w:val="36"/>
          <w:szCs w:val="36"/>
        </w:rPr>
      </w:pPr>
      <w:r w:rsidRPr="0042554B">
        <w:rPr>
          <w:rFonts w:cstheme="majorHAnsi"/>
          <w:b/>
          <w:color w:val="FF0000"/>
          <w:sz w:val="36"/>
          <w:szCs w:val="36"/>
        </w:rPr>
        <w:t xml:space="preserve">Embargo: 00:30am CEST 4 June </w:t>
      </w:r>
    </w:p>
    <w:p w14:paraId="6C764A39" w14:textId="77777777" w:rsidR="0042554B" w:rsidRPr="0042554B" w:rsidRDefault="0042554B" w:rsidP="00D947B6">
      <w:pPr>
        <w:rPr>
          <w:rFonts w:cstheme="majorHAnsi"/>
          <w:b/>
          <w:color w:val="FFC000"/>
          <w:sz w:val="16"/>
          <w:szCs w:val="16"/>
        </w:rPr>
      </w:pPr>
    </w:p>
    <w:p w14:paraId="69FC80B0" w14:textId="64E362A9" w:rsidR="00D947B6" w:rsidRPr="00D947B6" w:rsidRDefault="00D947B6" w:rsidP="00D947B6">
      <w:pPr>
        <w:jc w:val="center"/>
        <w:rPr>
          <w:rFonts w:eastAsia="Arial" w:cstheme="majorHAnsi"/>
          <w:b/>
          <w:sz w:val="32"/>
          <w:szCs w:val="32"/>
        </w:rPr>
      </w:pPr>
      <w:r w:rsidRPr="00BA297C">
        <w:rPr>
          <w:rFonts w:eastAsia="Arial" w:cstheme="majorHAnsi"/>
          <w:b/>
          <w:sz w:val="32"/>
          <w:szCs w:val="32"/>
        </w:rPr>
        <w:t>Transformation is picking up speed in the power sector, but urgent action is required in heating, cooling and transport</w:t>
      </w:r>
    </w:p>
    <w:p w14:paraId="16E1C0F9" w14:textId="21E90C7F" w:rsidR="00D947B6" w:rsidRPr="0042554B" w:rsidRDefault="00D947B6" w:rsidP="0042554B">
      <w:pPr>
        <w:jc w:val="center"/>
        <w:rPr>
          <w:rFonts w:eastAsia="Arial" w:cstheme="majorHAnsi"/>
          <w:i/>
          <w:sz w:val="28"/>
          <w:szCs w:val="28"/>
        </w:rPr>
      </w:pPr>
      <w:r w:rsidRPr="00BA297C">
        <w:rPr>
          <w:rFonts w:eastAsia="Arial" w:cstheme="majorHAnsi"/>
          <w:i/>
          <w:sz w:val="28"/>
          <w:szCs w:val="28"/>
        </w:rPr>
        <w:t xml:space="preserve">178 GW </w:t>
      </w:r>
      <w:r w:rsidRPr="0042554B">
        <w:rPr>
          <w:rFonts w:eastAsia="Arial" w:cstheme="majorHAnsi"/>
          <w:i/>
          <w:sz w:val="28"/>
          <w:szCs w:val="28"/>
        </w:rPr>
        <w:t xml:space="preserve">of </w:t>
      </w:r>
      <w:r w:rsidRPr="00BA297C">
        <w:rPr>
          <w:rFonts w:eastAsia="Arial" w:cstheme="majorHAnsi"/>
          <w:i/>
          <w:sz w:val="28"/>
          <w:szCs w:val="28"/>
        </w:rPr>
        <w:t>renewable power</w:t>
      </w:r>
      <w:r w:rsidRPr="0042554B">
        <w:rPr>
          <w:rFonts w:eastAsia="Arial" w:cstheme="majorHAnsi"/>
          <w:i/>
          <w:sz w:val="28"/>
          <w:szCs w:val="28"/>
        </w:rPr>
        <w:t xml:space="preserve"> added globally in 2017</w:t>
      </w:r>
    </w:p>
    <w:p w14:paraId="5848099E" w14:textId="08EA7AC2" w:rsidR="0042554B" w:rsidRDefault="0042554B" w:rsidP="00D947B6">
      <w:pPr>
        <w:rPr>
          <w:rFonts w:eastAsia="Arial" w:cstheme="majorHAnsi"/>
          <w:b/>
        </w:rPr>
      </w:pPr>
    </w:p>
    <w:p w14:paraId="6DB4CC8C" w14:textId="222A5CA6" w:rsidR="00D947B6" w:rsidRPr="00D947B6" w:rsidRDefault="00D947B6" w:rsidP="00D947B6">
      <w:pPr>
        <w:rPr>
          <w:rFonts w:eastAsia="Arial" w:cstheme="majorHAnsi"/>
        </w:rPr>
      </w:pPr>
      <w:bookmarkStart w:id="0" w:name="_GoBack"/>
      <w:r w:rsidRPr="00BA297C">
        <w:rPr>
          <w:rFonts w:eastAsia="Calibri" w:cs="Calibri"/>
          <w:b/>
          <w:noProof/>
          <w:lang w:val="en-GB" w:eastAsia="en-GB"/>
        </w:rPr>
        <w:drawing>
          <wp:anchor distT="0" distB="0" distL="114300" distR="114300" simplePos="0" relativeHeight="251656192" behindDoc="1" locked="0" layoutInCell="1" allowOverlap="1" wp14:anchorId="513FB9B5" wp14:editId="7EB911B3">
            <wp:simplePos x="0" y="0"/>
            <wp:positionH relativeFrom="margin">
              <wp:align>right</wp:align>
            </wp:positionH>
            <wp:positionV relativeFrom="paragraph">
              <wp:posOffset>7620</wp:posOffset>
            </wp:positionV>
            <wp:extent cx="2215515" cy="1195070"/>
            <wp:effectExtent l="0" t="0" r="0" b="5080"/>
            <wp:wrapTight wrapText="bothSides">
              <wp:wrapPolygon edited="0">
                <wp:start x="0" y="0"/>
                <wp:lineTo x="0" y="21348"/>
                <wp:lineTo x="21359" y="21348"/>
                <wp:lineTo x="2135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AE8293F0-D92F-4488-A51D-2930184BADBA"/>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15515" cy="1195070"/>
                    </a:xfrm>
                    <a:prstGeom prst="rect">
                      <a:avLst/>
                    </a:prstGeom>
                    <a:noFill/>
                  </pic:spPr>
                </pic:pic>
              </a:graphicData>
            </a:graphic>
            <wp14:sizeRelH relativeFrom="page">
              <wp14:pctWidth>0</wp14:pctWidth>
            </wp14:sizeRelH>
            <wp14:sizeRelV relativeFrom="page">
              <wp14:pctHeight>0</wp14:pctHeight>
            </wp14:sizeRelV>
          </wp:anchor>
        </w:drawing>
      </w:r>
      <w:bookmarkEnd w:id="0"/>
      <w:r w:rsidRPr="00BA297C">
        <w:rPr>
          <w:rFonts w:eastAsia="Arial" w:cstheme="majorHAnsi"/>
          <w:b/>
        </w:rPr>
        <w:t>Renewable power</w:t>
      </w:r>
      <w:r w:rsidRPr="00876370">
        <w:rPr>
          <w:rFonts w:eastAsia="Arial" w:cstheme="majorHAnsi"/>
          <w:b/>
        </w:rPr>
        <w:t xml:space="preserve"> accounted for 70% </w:t>
      </w:r>
      <w:r w:rsidRPr="00D947B6">
        <w:rPr>
          <w:rFonts w:eastAsia="Arial" w:cstheme="majorHAnsi"/>
        </w:rPr>
        <w:t>of net additions to global power generating capacity in 2017, the largest increase in renewable power capacity in modern history, according to REN21’s</w:t>
      </w:r>
      <w:r w:rsidRPr="00D947B6">
        <w:rPr>
          <w:rFonts w:eastAsia="Arial" w:cstheme="majorHAnsi"/>
          <w:i/>
        </w:rPr>
        <w:t xml:space="preserve"> Renewables 2018 Global Status Report </w:t>
      </w:r>
      <w:r w:rsidRPr="00D947B6">
        <w:rPr>
          <w:rFonts w:eastAsia="Arial" w:cstheme="majorHAnsi"/>
        </w:rPr>
        <w:t>(GSR). But the heating, cooling and transport sectors – which together account for about four-fifths of global final energy demand – continue to lag far behind the power sector.</w:t>
      </w:r>
    </w:p>
    <w:p w14:paraId="4C180AA0" w14:textId="3C7F09F1" w:rsidR="00D947B6" w:rsidRPr="00D947B6" w:rsidRDefault="00D947B6" w:rsidP="00D947B6">
      <w:pPr>
        <w:rPr>
          <w:rFonts w:eastAsia="Arial" w:cstheme="majorHAnsi"/>
          <w:strike/>
        </w:rPr>
      </w:pPr>
      <w:r w:rsidRPr="00D947B6">
        <w:rPr>
          <w:rFonts w:eastAsia="Arial" w:cstheme="majorHAnsi"/>
        </w:rPr>
        <w:t xml:space="preserve">The GSR, published today, is the most comprehensive annual overview of the state of renewable energy worldwide. </w:t>
      </w:r>
      <w:r w:rsidRPr="00D947B6">
        <w:rPr>
          <w:rFonts w:eastAsia="Arial" w:cstheme="majorHAnsi"/>
          <w:strike/>
        </w:rPr>
        <w:t xml:space="preserve"> </w:t>
      </w:r>
    </w:p>
    <w:p w14:paraId="515C6807" w14:textId="5812E9D2" w:rsidR="00D947B6" w:rsidRPr="00D947B6" w:rsidRDefault="00BA297C" w:rsidP="00D947B6">
      <w:pPr>
        <w:rPr>
          <w:rFonts w:eastAsia="Arial" w:cstheme="majorHAnsi"/>
        </w:rPr>
      </w:pPr>
      <w:bookmarkStart w:id="1" w:name="_Hlk514599890"/>
      <w:r>
        <w:rPr>
          <w:rFonts w:eastAsia="Calibri" w:cs="Calibri"/>
          <w:noProof/>
          <w:lang w:val="en-GB" w:eastAsia="en-GB"/>
        </w:rPr>
        <w:drawing>
          <wp:anchor distT="0" distB="0" distL="114300" distR="114300" simplePos="0" relativeHeight="251660288" behindDoc="1" locked="0" layoutInCell="1" allowOverlap="1" wp14:anchorId="1AACB7C5" wp14:editId="052C5C86">
            <wp:simplePos x="0" y="0"/>
            <wp:positionH relativeFrom="margin">
              <wp:align>left</wp:align>
            </wp:positionH>
            <wp:positionV relativeFrom="paragraph">
              <wp:posOffset>13335</wp:posOffset>
            </wp:positionV>
            <wp:extent cx="2366645" cy="1386205"/>
            <wp:effectExtent l="0" t="0" r="0" b="4445"/>
            <wp:wrapTight wrapText="bothSides">
              <wp:wrapPolygon edited="0">
                <wp:start x="0" y="0"/>
                <wp:lineTo x="0" y="21372"/>
                <wp:lineTo x="21386" y="21372"/>
                <wp:lineTo x="21386" y="0"/>
                <wp:lineTo x="0" y="0"/>
              </wp:wrapPolygon>
            </wp:wrapTight>
            <wp:docPr id="8" name="Picture 8" descr="C:\Users\nilssona\Desktop\Solar PV Capac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lssona\Desktop\Solar PV Capacit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6612" cy="1392284"/>
                    </a:xfrm>
                    <a:prstGeom prst="rect">
                      <a:avLst/>
                    </a:prstGeom>
                    <a:noFill/>
                    <a:ln>
                      <a:noFill/>
                    </a:ln>
                  </pic:spPr>
                </pic:pic>
              </a:graphicData>
            </a:graphic>
            <wp14:sizeRelH relativeFrom="page">
              <wp14:pctWidth>0</wp14:pctWidth>
            </wp14:sizeRelH>
            <wp14:sizeRelV relativeFrom="page">
              <wp14:pctHeight>0</wp14:pctHeight>
            </wp14:sizeRelV>
          </wp:anchor>
        </w:drawing>
      </w:r>
      <w:r w:rsidR="00D947B6" w:rsidRPr="00D947B6">
        <w:rPr>
          <w:rFonts w:eastAsia="Arial" w:cstheme="majorHAnsi"/>
          <w:b/>
        </w:rPr>
        <w:t xml:space="preserve">New solar photovoltaic (PV) capacity reached record levels: </w:t>
      </w:r>
      <w:r w:rsidR="00D947B6" w:rsidRPr="00D947B6">
        <w:rPr>
          <w:rFonts w:eastAsia="Arial" w:cstheme="majorHAnsi"/>
        </w:rPr>
        <w:t xml:space="preserve">Solar PV additions were up 29% relative to 2016, to 98 GW. More solar PV generating capacity was added to the electricity system than net capacity additions of coal, natural gas and nuclear power combined. Wind power also drove the uptake of renewables with 52 GW added globally. </w:t>
      </w:r>
    </w:p>
    <w:bookmarkEnd w:id="1"/>
    <w:p w14:paraId="610FAE75" w14:textId="68A10AE8" w:rsidR="00D947B6" w:rsidRPr="00D947B6" w:rsidRDefault="00BA297C" w:rsidP="00D947B6">
      <w:pPr>
        <w:rPr>
          <w:rFonts w:eastAsia="Arial" w:cstheme="majorHAnsi"/>
          <w:b/>
        </w:rPr>
      </w:pPr>
      <w:r>
        <w:rPr>
          <w:rFonts w:eastAsia="Calibri" w:cs="Calibri"/>
          <w:noProof/>
          <w:lang w:val="en-GB" w:eastAsia="en-GB"/>
        </w:rPr>
        <w:drawing>
          <wp:anchor distT="0" distB="0" distL="114300" distR="114300" simplePos="0" relativeHeight="251661312" behindDoc="0" locked="0" layoutInCell="1" allowOverlap="1" wp14:anchorId="1E7B05FC" wp14:editId="3767D1E2">
            <wp:simplePos x="0" y="0"/>
            <wp:positionH relativeFrom="column">
              <wp:posOffset>3550920</wp:posOffset>
            </wp:positionH>
            <wp:positionV relativeFrom="paragraph">
              <wp:posOffset>13335</wp:posOffset>
            </wp:positionV>
            <wp:extent cx="2202815" cy="1546225"/>
            <wp:effectExtent l="0" t="0" r="6985" b="0"/>
            <wp:wrapThrough wrapText="bothSides">
              <wp:wrapPolygon edited="0">
                <wp:start x="0" y="0"/>
                <wp:lineTo x="0" y="21290"/>
                <wp:lineTo x="21482" y="21290"/>
                <wp:lineTo x="21482" y="0"/>
                <wp:lineTo x="0" y="0"/>
              </wp:wrapPolygon>
            </wp:wrapThrough>
            <wp:docPr id="9" name="Picture 9" descr="C:\Users\nilssona\Desktop\Investment in 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lssona\Desktop\Investment in R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2815" cy="154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D947B6" w:rsidRPr="00D947B6">
        <w:rPr>
          <w:rFonts w:eastAsia="Arial" w:cstheme="majorHAnsi"/>
          <w:b/>
        </w:rPr>
        <w:t>Investment in new renewable power capacity was more than twice that of net, new fossil fuel and nuclear power capacity combined</w:t>
      </w:r>
      <w:r w:rsidR="00D947B6" w:rsidRPr="00D947B6">
        <w:rPr>
          <w:rFonts w:eastAsia="Arial" w:cstheme="majorHAnsi"/>
        </w:rPr>
        <w:t xml:space="preserve">, despite large, ongoing subsidies for fossil fuel generation. More than two-thirds of investments in power generation were in renewables in 2017, thanks to their increasing cost-competitiveness – and the share of renewables in the power sector is expected to only continue to rise. </w:t>
      </w:r>
    </w:p>
    <w:p w14:paraId="12473BB7" w14:textId="20CF6CA9" w:rsidR="00D947B6" w:rsidRPr="00D947B6" w:rsidRDefault="00D947B6" w:rsidP="00D947B6">
      <w:pPr>
        <w:rPr>
          <w:rFonts w:eastAsia="Arial" w:cstheme="majorHAnsi"/>
        </w:rPr>
      </w:pPr>
      <w:r w:rsidRPr="00D947B6">
        <w:rPr>
          <w:rFonts w:eastAsia="Arial" w:cstheme="majorHAnsi"/>
          <w:b/>
        </w:rPr>
        <w:t xml:space="preserve">Investment in renewables was regionally concentrated: </w:t>
      </w:r>
      <w:r w:rsidRPr="00D947B6">
        <w:rPr>
          <w:rFonts w:eastAsia="Arial" w:cstheme="majorHAnsi"/>
        </w:rPr>
        <w:t xml:space="preserve">China, Europe and the United States accounted for nearly 75% of global investment in renewables in 2017. However, when measured per </w:t>
      </w:r>
      <w:r w:rsidRPr="00D947B6">
        <w:rPr>
          <w:rFonts w:eastAsia="Arial" w:cstheme="majorHAnsi"/>
        </w:rPr>
        <w:lastRenderedPageBreak/>
        <w:t xml:space="preserve">unit of gross domestic product (GDP), the Marshall Islands, Rwanda, the Solomon Islands, Guinea-Bissau, and many other developing countries are investing as much as or more in renewables than developed and emerging economies. </w:t>
      </w:r>
    </w:p>
    <w:p w14:paraId="51CA83B7" w14:textId="08BAE6D3" w:rsidR="00D947B6" w:rsidRPr="00D947B6" w:rsidRDefault="00D947B6" w:rsidP="00D947B6">
      <w:pPr>
        <w:pStyle w:val="CommentText"/>
        <w:spacing w:line="276" w:lineRule="auto"/>
        <w:rPr>
          <w:rFonts w:eastAsia="Calibri" w:cstheme="majorHAnsi"/>
          <w:b/>
          <w:bCs/>
          <w:color w:val="FF0000"/>
        </w:rPr>
      </w:pPr>
      <w:bookmarkStart w:id="2" w:name="_Hlk514768519"/>
      <w:r w:rsidRPr="00D947B6">
        <w:rPr>
          <w:rFonts w:cstheme="majorHAnsi"/>
          <w:b/>
          <w:bCs/>
          <w:color w:val="000000"/>
          <w:sz w:val="22"/>
          <w:szCs w:val="22"/>
        </w:rPr>
        <w:t>Both e</w:t>
      </w:r>
      <w:r w:rsidRPr="00D947B6">
        <w:rPr>
          <w:rFonts w:cstheme="majorHAnsi"/>
          <w:b/>
          <w:bCs/>
          <w:sz w:val="22"/>
          <w:szCs w:val="22"/>
        </w:rPr>
        <w:t xml:space="preserve">nergy demand and </w:t>
      </w:r>
      <w:r w:rsidRPr="00D947B6">
        <w:rPr>
          <w:rFonts w:cstheme="majorHAnsi"/>
          <w:b/>
          <w:bCs/>
          <w:color w:val="000000"/>
          <w:sz w:val="22"/>
          <w:szCs w:val="22"/>
        </w:rPr>
        <w:t>energy-related CO</w:t>
      </w:r>
      <w:r w:rsidRPr="00D947B6">
        <w:rPr>
          <w:rFonts w:cstheme="majorHAnsi"/>
          <w:b/>
          <w:bCs/>
          <w:color w:val="000000"/>
          <w:sz w:val="22"/>
          <w:szCs w:val="22"/>
          <w:vertAlign w:val="subscript"/>
        </w:rPr>
        <w:t>2</w:t>
      </w:r>
      <w:r w:rsidRPr="00D947B6">
        <w:rPr>
          <w:rFonts w:cstheme="majorHAnsi"/>
          <w:b/>
          <w:bCs/>
          <w:color w:val="000000"/>
          <w:sz w:val="22"/>
          <w:szCs w:val="22"/>
        </w:rPr>
        <w:t xml:space="preserve"> emissions r</w:t>
      </w:r>
      <w:r w:rsidRPr="00D947B6">
        <w:rPr>
          <w:rFonts w:cstheme="majorHAnsi"/>
          <w:b/>
          <w:bCs/>
          <w:sz w:val="22"/>
          <w:szCs w:val="22"/>
        </w:rPr>
        <w:t>ose substantially for</w:t>
      </w:r>
      <w:r w:rsidR="00876370">
        <w:rPr>
          <w:rFonts w:cstheme="majorHAnsi"/>
          <w:b/>
          <w:bCs/>
          <w:sz w:val="22"/>
          <w:szCs w:val="22"/>
        </w:rPr>
        <w:t xml:space="preserve"> the first time in four years. </w:t>
      </w:r>
      <w:r w:rsidRPr="00D947B6">
        <w:rPr>
          <w:rFonts w:cstheme="majorHAnsi"/>
          <w:sz w:val="22"/>
          <w:szCs w:val="22"/>
        </w:rPr>
        <w:t>E</w:t>
      </w:r>
      <w:r w:rsidRPr="00D947B6">
        <w:rPr>
          <w:rFonts w:cstheme="majorHAnsi"/>
          <w:color w:val="000000"/>
          <w:sz w:val="22"/>
          <w:szCs w:val="22"/>
        </w:rPr>
        <w:t>nergy-related CO</w:t>
      </w:r>
      <w:r w:rsidRPr="00D947B6">
        <w:rPr>
          <w:rFonts w:cstheme="majorHAnsi"/>
          <w:color w:val="000000"/>
          <w:sz w:val="22"/>
          <w:szCs w:val="22"/>
          <w:vertAlign w:val="subscript"/>
        </w:rPr>
        <w:t>2</w:t>
      </w:r>
      <w:r w:rsidRPr="00D947B6">
        <w:rPr>
          <w:rFonts w:cstheme="majorHAnsi"/>
          <w:color w:val="000000"/>
          <w:sz w:val="22"/>
          <w:szCs w:val="22"/>
        </w:rPr>
        <w:t xml:space="preserve"> emissions rose by 1.4%. Global energy demand increased an estimated 2.1% in 2017 due to economic growth in emerging economies as well as population growth. Renewable energy uptake is not keeping pace with this increasing energy demand and the continuous investment in fossil and nuclear capacity. </w:t>
      </w:r>
    </w:p>
    <w:bookmarkEnd w:id="2"/>
    <w:p w14:paraId="612BF213" w14:textId="77777777" w:rsidR="00D947B6" w:rsidRPr="00D947B6" w:rsidRDefault="00D947B6" w:rsidP="00D947B6">
      <w:pPr>
        <w:rPr>
          <w:rFonts w:eastAsia="Arial" w:cstheme="majorHAnsi"/>
          <w:lang w:val="en-GB"/>
        </w:rPr>
      </w:pPr>
      <w:r w:rsidRPr="00D947B6">
        <w:rPr>
          <w:rFonts w:eastAsia="Arial" w:cstheme="majorHAnsi"/>
        </w:rPr>
        <w:t xml:space="preserve">In the power sector, the transition to renewables is under way but </w:t>
      </w:r>
      <w:r w:rsidRPr="00D947B6">
        <w:rPr>
          <w:rFonts w:cstheme="majorHAnsi"/>
          <w:color w:val="000000"/>
        </w:rPr>
        <w:t xml:space="preserve">is progressing more slowly than is possible or desirable. </w:t>
      </w:r>
      <w:r w:rsidRPr="00D947B6">
        <w:rPr>
          <w:rFonts w:eastAsia="Arial" w:cstheme="majorHAnsi"/>
        </w:rPr>
        <w:t xml:space="preserve">A commitment made under the 2015 Paris climate agreement to limit global temperature rise to “well below” 2 degrees Celsius above pre-industrial levels makes the nature of the challenge much clearer. </w:t>
      </w:r>
    </w:p>
    <w:p w14:paraId="6DF2A0A3" w14:textId="77777777" w:rsidR="00D947B6" w:rsidRPr="00D947B6" w:rsidRDefault="00D947B6" w:rsidP="00D947B6">
      <w:pPr>
        <w:rPr>
          <w:rFonts w:eastAsia="Arial" w:cstheme="majorHAnsi"/>
        </w:rPr>
      </w:pPr>
      <w:r w:rsidRPr="00D947B6">
        <w:rPr>
          <w:rFonts w:eastAsia="Arial" w:cstheme="majorHAnsi"/>
        </w:rPr>
        <w:t xml:space="preserve">If the world is to achieve the target set in the Paris agreement, then heating, cooling and transport will need to follow the same path as the power sector – and fast. These sectors have seen: </w:t>
      </w:r>
    </w:p>
    <w:p w14:paraId="10096FF9" w14:textId="77777777" w:rsidR="00D947B6" w:rsidRPr="00D947B6" w:rsidRDefault="00D947B6" w:rsidP="00D947B6">
      <w:pPr>
        <w:rPr>
          <w:rFonts w:eastAsia="Arial" w:cstheme="majorHAnsi"/>
        </w:rPr>
      </w:pPr>
      <w:r w:rsidRPr="00D947B6">
        <w:rPr>
          <w:rFonts w:eastAsia="Arial" w:cstheme="majorHAnsi"/>
          <w:b/>
        </w:rPr>
        <w:t xml:space="preserve">Little change in renewables uptake in heating and cooling: </w:t>
      </w:r>
      <w:r w:rsidRPr="00D947B6">
        <w:rPr>
          <w:rFonts w:eastAsia="Arial" w:cstheme="majorHAnsi"/>
        </w:rPr>
        <w:t xml:space="preserve">Modern renewable energy supplied approximately </w:t>
      </w:r>
      <w:r w:rsidRPr="00BA297C">
        <w:rPr>
          <w:rFonts w:eastAsia="Arial" w:cstheme="majorHAnsi"/>
        </w:rPr>
        <w:t>10%</w:t>
      </w:r>
      <w:r w:rsidRPr="00D947B6">
        <w:rPr>
          <w:rFonts w:eastAsia="Arial" w:cstheme="majorHAnsi"/>
        </w:rPr>
        <w:t xml:space="preserve"> of total global heat production in 2015. National targets for renewable energy in heating and cooling exist in only 48 countries around the world, whereas 146 countries have targets for renewable energy in the power sector. </w:t>
      </w:r>
    </w:p>
    <w:p w14:paraId="55196684" w14:textId="77777777" w:rsidR="00D947B6" w:rsidRPr="00D947B6" w:rsidRDefault="00D947B6" w:rsidP="00D947B6">
      <w:pPr>
        <w:rPr>
          <w:rFonts w:eastAsia="Arial" w:cstheme="majorHAnsi"/>
        </w:rPr>
      </w:pPr>
      <w:r w:rsidRPr="00D947B6">
        <w:rPr>
          <w:rFonts w:eastAsia="Arial" w:cstheme="majorHAnsi"/>
        </w:rPr>
        <w:t xml:space="preserve">Small changes are under way. In India, for example, installations of solar thermal collectors rose approximately 25% in 2017 as compared to 2016. China aims to have 2% of the cooling loads of its buildings come from solar thermal energy by 2020. </w:t>
      </w:r>
    </w:p>
    <w:p w14:paraId="4A7EC599" w14:textId="77777777" w:rsidR="00D947B6" w:rsidRPr="00D947B6" w:rsidRDefault="00D947B6" w:rsidP="00D947B6">
      <w:pPr>
        <w:rPr>
          <w:rFonts w:eastAsia="Arial" w:cstheme="majorHAnsi"/>
        </w:rPr>
      </w:pPr>
      <w:r w:rsidRPr="00D947B6">
        <w:rPr>
          <w:rFonts w:eastAsia="Calibri" w:cs="Calibri"/>
          <w:noProof/>
          <w:lang w:val="en-GB" w:eastAsia="en-GB"/>
        </w:rPr>
        <w:drawing>
          <wp:anchor distT="0" distB="0" distL="114300" distR="114300" simplePos="0" relativeHeight="251659264" behindDoc="1" locked="0" layoutInCell="1" allowOverlap="1" wp14:anchorId="3CF14C3E" wp14:editId="00DAA223">
            <wp:simplePos x="0" y="0"/>
            <wp:positionH relativeFrom="margin">
              <wp:align>right</wp:align>
            </wp:positionH>
            <wp:positionV relativeFrom="paragraph">
              <wp:posOffset>502285</wp:posOffset>
            </wp:positionV>
            <wp:extent cx="3249930" cy="1889125"/>
            <wp:effectExtent l="0" t="0" r="7620" b="0"/>
            <wp:wrapTight wrapText="bothSides">
              <wp:wrapPolygon edited="0">
                <wp:start x="0" y="0"/>
                <wp:lineTo x="0" y="21346"/>
                <wp:lineTo x="21524" y="21346"/>
                <wp:lineTo x="215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250478" cy="1889125"/>
                    </a:xfrm>
                    <a:prstGeom prst="rect">
                      <a:avLst/>
                    </a:prstGeom>
                    <a:noFill/>
                  </pic:spPr>
                </pic:pic>
              </a:graphicData>
            </a:graphic>
            <wp14:sizeRelH relativeFrom="page">
              <wp14:pctWidth>0</wp14:pctWidth>
            </wp14:sizeRelH>
            <wp14:sizeRelV relativeFrom="page">
              <wp14:pctHeight>0</wp14:pctHeight>
            </wp14:sizeRelV>
          </wp:anchor>
        </w:drawing>
      </w:r>
      <w:r w:rsidRPr="00D947B6">
        <w:rPr>
          <w:rFonts w:eastAsia="Arial" w:cstheme="majorHAnsi"/>
          <w:b/>
        </w:rPr>
        <w:t xml:space="preserve">In transport, </w:t>
      </w:r>
      <w:r w:rsidRPr="00D947B6">
        <w:rPr>
          <w:rFonts w:cstheme="majorHAnsi"/>
          <w:b/>
        </w:rPr>
        <w:t>increasing electrification is offering possibilities for renewable energy uptake despite the dominance of fossil fuels</w:t>
      </w:r>
      <w:r w:rsidRPr="00D947B6">
        <w:rPr>
          <w:rFonts w:eastAsia="Arial" w:cstheme="majorHAnsi"/>
          <w:b/>
        </w:rPr>
        <w:t xml:space="preserve">: </w:t>
      </w:r>
      <w:r w:rsidRPr="00D947B6">
        <w:rPr>
          <w:rFonts w:eastAsia="Arial" w:cstheme="majorHAnsi"/>
        </w:rPr>
        <w:t xml:space="preserve">More than 30 million two- and three-wheeled electric vehicles are being added to the world’s roads every year, and 1.2 million passenger electric cars were sold in 2017, up </w:t>
      </w:r>
      <w:r w:rsidRPr="00D947B6">
        <w:rPr>
          <w:rFonts w:eastAsia="Times New Roman" w:cstheme="majorHAnsi"/>
        </w:rPr>
        <w:t xml:space="preserve">about 58% from 2016. </w:t>
      </w:r>
      <w:r w:rsidRPr="00D947B6">
        <w:rPr>
          <w:rFonts w:eastAsia="Arial" w:cstheme="majorHAnsi"/>
        </w:rPr>
        <w:t>Electricity provides 1.3% of transport energy needs, of which about one-quarter is renewable, and biofuels provide 2.9%. Overall, however, 92% of transport energy demand continues to be met by oil, and only 42 countries have national targets for the use of renewable energy in transport.</w:t>
      </w:r>
    </w:p>
    <w:p w14:paraId="7C6F4AC8" w14:textId="77777777" w:rsidR="00D947B6" w:rsidRPr="00D947B6" w:rsidRDefault="00D947B6" w:rsidP="00D947B6">
      <w:pPr>
        <w:rPr>
          <w:rFonts w:eastAsia="Arial" w:cstheme="majorHAnsi"/>
        </w:rPr>
      </w:pPr>
      <w:r w:rsidRPr="00D947B6">
        <w:rPr>
          <w:rFonts w:eastAsia="Arial" w:cstheme="majorHAnsi"/>
        </w:rPr>
        <w:t xml:space="preserve">For these sectors to change, the right policy frameworks need to be put in place, driving innovation and the development of new renewable energy technologies in the sectors that are lagging. </w:t>
      </w:r>
    </w:p>
    <w:p w14:paraId="5494D071" w14:textId="77777777" w:rsidR="00D947B6" w:rsidRPr="00D947B6" w:rsidRDefault="00D947B6" w:rsidP="00D947B6">
      <w:pPr>
        <w:rPr>
          <w:rFonts w:eastAsia="Arial" w:cstheme="majorHAnsi"/>
        </w:rPr>
      </w:pPr>
      <w:r w:rsidRPr="00D947B6">
        <w:rPr>
          <w:rFonts w:eastAsia="Arial" w:cstheme="majorHAnsi"/>
        </w:rPr>
        <w:t xml:space="preserve">“Equating ‘electricity’ with ‘energy’ is leading to complacency,” said Rana </w:t>
      </w:r>
      <w:proofErr w:type="spellStart"/>
      <w:r w:rsidRPr="00D947B6">
        <w:rPr>
          <w:rFonts w:eastAsia="Arial" w:cstheme="majorHAnsi"/>
        </w:rPr>
        <w:t>Adib</w:t>
      </w:r>
      <w:proofErr w:type="spellEnd"/>
      <w:r w:rsidRPr="00D947B6">
        <w:rPr>
          <w:rFonts w:eastAsia="Arial" w:cstheme="majorHAnsi"/>
        </w:rPr>
        <w:t xml:space="preserve">, Executive Secretary of REN21. “We may be racing down the pathway towards a 100% renewable electricity future, but when it comes to heating, cooling and transport, we are coasting along as if we had all the time in the world. Sadly, we don’t.”  </w:t>
      </w:r>
    </w:p>
    <w:p w14:paraId="6C0D6D91" w14:textId="77777777" w:rsidR="00D947B6" w:rsidRPr="00D947B6" w:rsidRDefault="00D947B6" w:rsidP="00D947B6">
      <w:pPr>
        <w:rPr>
          <w:rFonts w:eastAsia="Arial" w:cstheme="majorHAnsi"/>
        </w:rPr>
      </w:pPr>
      <w:proofErr w:type="spellStart"/>
      <w:r w:rsidRPr="00D947B6">
        <w:rPr>
          <w:rFonts w:eastAsia="Arial" w:cstheme="majorHAnsi"/>
        </w:rPr>
        <w:lastRenderedPageBreak/>
        <w:t>Arthouros</w:t>
      </w:r>
      <w:proofErr w:type="spellEnd"/>
      <w:r w:rsidRPr="00D947B6">
        <w:rPr>
          <w:rFonts w:eastAsia="Arial" w:cstheme="majorHAnsi"/>
        </w:rPr>
        <w:t xml:space="preserve"> </w:t>
      </w:r>
      <w:proofErr w:type="spellStart"/>
      <w:r w:rsidRPr="00D947B6">
        <w:rPr>
          <w:rFonts w:eastAsia="Arial" w:cstheme="majorHAnsi"/>
        </w:rPr>
        <w:t>Zervos</w:t>
      </w:r>
      <w:proofErr w:type="spellEnd"/>
      <w:r w:rsidRPr="00D947B6">
        <w:rPr>
          <w:rFonts w:eastAsia="Arial" w:cstheme="majorHAnsi"/>
        </w:rPr>
        <w:t>, REN21 Chair, added: “To make the energy transition happen there needs to be political leadership by governments – for example by ending subsidies for fossil fuels and nuclear, investing in the necessary infrastructure, and establishing hard targets and policy for heating, cooling and transport. Without this leadership, it will be difficult for the world to meet climate or sustainable development commitments.”</w:t>
      </w:r>
    </w:p>
    <w:p w14:paraId="5A3150CE" w14:textId="77777777" w:rsidR="00D947B6" w:rsidRPr="00D947B6" w:rsidRDefault="00D947B6" w:rsidP="00D947B6">
      <w:pPr>
        <w:jc w:val="center"/>
        <w:rPr>
          <w:rFonts w:eastAsia="Calibri" w:cs="Calibri"/>
          <w:b/>
        </w:rPr>
      </w:pPr>
      <w:r w:rsidRPr="00D947B6">
        <w:rPr>
          <w:b/>
        </w:rPr>
        <w:t xml:space="preserve">- Ends - </w:t>
      </w:r>
    </w:p>
    <w:p w14:paraId="30F5D5DD" w14:textId="77777777" w:rsidR="00D947B6" w:rsidRPr="00D947B6" w:rsidRDefault="00D947B6" w:rsidP="00D947B6">
      <w:pPr>
        <w:rPr>
          <w:b/>
        </w:rPr>
      </w:pPr>
      <w:r w:rsidRPr="00D947B6">
        <w:rPr>
          <w:b/>
        </w:rPr>
        <w:t xml:space="preserve">About the REN21 </w:t>
      </w:r>
      <w:r w:rsidRPr="00D947B6">
        <w:rPr>
          <w:b/>
          <w:i/>
        </w:rPr>
        <w:t>Renewables Global Status Report</w:t>
      </w:r>
    </w:p>
    <w:p w14:paraId="621A4FC2" w14:textId="77777777" w:rsidR="00D947B6" w:rsidRPr="00D947B6" w:rsidRDefault="00D947B6" w:rsidP="00D947B6">
      <w:r w:rsidRPr="00D947B6">
        <w:t xml:space="preserve">REN21’s </w:t>
      </w:r>
      <w:r w:rsidRPr="00D947B6">
        <w:rPr>
          <w:i/>
        </w:rPr>
        <w:t xml:space="preserve">Renewables 2018 Global Status Report </w:t>
      </w:r>
      <w:r w:rsidRPr="00D947B6">
        <w:t xml:space="preserve">presents developments and trends through the end of 2017, as well as observed trends from early 2018 where available. </w:t>
      </w:r>
    </w:p>
    <w:p w14:paraId="2672A277" w14:textId="69BA2F02" w:rsidR="00D947B6" w:rsidRPr="00D947B6" w:rsidRDefault="00D947B6" w:rsidP="00D947B6">
      <w:pPr>
        <w:pBdr>
          <w:bottom w:val="single" w:sz="6" w:space="1" w:color="auto"/>
        </w:pBdr>
        <w:rPr>
          <w:rStyle w:val="Hyperlink"/>
          <w:rFonts w:cstheme="majorHAnsi"/>
          <w:b/>
        </w:rPr>
      </w:pPr>
      <w:r w:rsidRPr="00D947B6">
        <w:t xml:space="preserve">First published in 2005, the annual </w:t>
      </w:r>
      <w:r w:rsidRPr="00D947B6">
        <w:rPr>
          <w:i/>
        </w:rPr>
        <w:t>Renewables Global Status Report</w:t>
      </w:r>
      <w:r w:rsidRPr="00D947B6">
        <w:t xml:space="preserve"> is the most comprehensive and timely overview of the status, recent developments and trends in renewable energy markets, industries, investments, and policy developments worldwide. By design, it does not provide analysis or forecast. Dat</w:t>
      </w:r>
      <w:r w:rsidR="0042554B">
        <w:t xml:space="preserve">a are provided by a network of </w:t>
      </w:r>
      <w:r w:rsidR="0042554B" w:rsidRPr="00BA297C">
        <w:t>9</w:t>
      </w:r>
      <w:r w:rsidRPr="00BA297C">
        <w:t>00</w:t>
      </w:r>
      <w:r w:rsidRPr="00D947B6">
        <w:t xml:space="preserve"> contributors, researchers, and authors from all </w:t>
      </w:r>
      <w:r w:rsidRPr="00D947B6">
        <w:rPr>
          <w:rFonts w:cstheme="majorHAnsi"/>
        </w:rPr>
        <w:t xml:space="preserve">over the world. </w:t>
      </w:r>
      <w:hyperlink r:id="rId12" w:history="1">
        <w:r w:rsidRPr="00D947B6">
          <w:rPr>
            <w:rStyle w:val="Hyperlink"/>
            <w:rFonts w:cstheme="majorHAnsi"/>
            <w:b/>
          </w:rPr>
          <w:t>www.ren21.net/gsr</w:t>
        </w:r>
      </w:hyperlink>
      <w:r w:rsidRPr="00D947B6">
        <w:rPr>
          <w:rStyle w:val="Hyperlink"/>
          <w:rFonts w:cstheme="majorHAnsi"/>
          <w:b/>
        </w:rPr>
        <w:t>-2018</w:t>
      </w:r>
    </w:p>
    <w:p w14:paraId="16CF72AB" w14:textId="77777777" w:rsidR="00D947B6" w:rsidRPr="00D947B6" w:rsidRDefault="00D947B6" w:rsidP="00D947B6">
      <w:pPr>
        <w:pBdr>
          <w:bottom w:val="single" w:sz="6" w:space="1" w:color="auto"/>
        </w:pBdr>
        <w:rPr>
          <w:rStyle w:val="Hyperlink"/>
          <w:rFonts w:cstheme="majorHAnsi"/>
          <w:b/>
        </w:rPr>
      </w:pPr>
    </w:p>
    <w:p w14:paraId="2F6ECFE1" w14:textId="77777777" w:rsidR="00D947B6" w:rsidRPr="00D947B6" w:rsidRDefault="00D947B6" w:rsidP="00D947B6">
      <w:pPr>
        <w:pStyle w:val="Default"/>
        <w:rPr>
          <w:rFonts w:asciiTheme="minorHAnsi" w:hAnsiTheme="minorHAnsi"/>
          <w:iCs/>
          <w:sz w:val="22"/>
          <w:szCs w:val="22"/>
        </w:rPr>
      </w:pPr>
    </w:p>
    <w:p w14:paraId="4929C8B3" w14:textId="77777777" w:rsidR="00D947B6" w:rsidRPr="00D947B6" w:rsidRDefault="00D947B6" w:rsidP="00D947B6">
      <w:pPr>
        <w:pStyle w:val="Default"/>
        <w:rPr>
          <w:rFonts w:asciiTheme="minorHAnsi" w:hAnsiTheme="minorHAnsi" w:cstheme="majorHAnsi"/>
          <w:b/>
          <w:iCs/>
          <w:sz w:val="22"/>
          <w:szCs w:val="22"/>
        </w:rPr>
      </w:pPr>
      <w:r w:rsidRPr="00D947B6">
        <w:rPr>
          <w:rFonts w:asciiTheme="minorHAnsi" w:hAnsiTheme="minorHAnsi" w:cstheme="majorHAnsi"/>
          <w:b/>
          <w:iCs/>
          <w:sz w:val="22"/>
          <w:szCs w:val="22"/>
        </w:rPr>
        <w:t>Advance interviews are available.</w:t>
      </w:r>
    </w:p>
    <w:p w14:paraId="63054C53" w14:textId="77777777" w:rsidR="00D947B6" w:rsidRPr="00D947B6" w:rsidRDefault="00D947B6" w:rsidP="00D947B6">
      <w:pPr>
        <w:pStyle w:val="Default"/>
        <w:rPr>
          <w:rFonts w:asciiTheme="minorHAnsi" w:eastAsia="Times New Roman" w:hAnsiTheme="minorHAnsi" w:cstheme="majorHAnsi"/>
          <w:iCs/>
          <w:sz w:val="22"/>
          <w:szCs w:val="22"/>
        </w:rPr>
      </w:pPr>
    </w:p>
    <w:p w14:paraId="41E5274B" w14:textId="6440B1D8" w:rsidR="007F6829" w:rsidRDefault="00D947B6" w:rsidP="007F6829">
      <w:pPr>
        <w:spacing w:after="0" w:line="240" w:lineRule="auto"/>
        <w:rPr>
          <w:rFonts w:eastAsia="Times New Roman" w:cstheme="majorHAnsi"/>
          <w:iCs/>
        </w:rPr>
      </w:pPr>
      <w:r w:rsidRPr="00D947B6">
        <w:rPr>
          <w:rFonts w:eastAsia="Times New Roman" w:cstheme="majorHAnsi"/>
          <w:iCs/>
        </w:rPr>
        <w:t xml:space="preserve">Available for media preview at: </w:t>
      </w:r>
      <w:hyperlink r:id="rId13" w:history="1">
        <w:r w:rsidR="007F6829" w:rsidRPr="00BB30C0">
          <w:rPr>
            <w:rStyle w:val="Hyperlink"/>
            <w:rFonts w:eastAsia="Times New Roman" w:cstheme="majorHAnsi"/>
          </w:rPr>
          <w:t>https://ren21.rotcloud.com/index.php/s/TjK2sVb1nsjXdQv</w:t>
        </w:r>
      </w:hyperlink>
    </w:p>
    <w:p w14:paraId="10F2EDA5" w14:textId="55EB6095" w:rsidR="00D947B6" w:rsidRPr="00D947B6" w:rsidRDefault="00D947B6" w:rsidP="007F6829">
      <w:pPr>
        <w:spacing w:after="0" w:line="240" w:lineRule="auto"/>
        <w:rPr>
          <w:rFonts w:eastAsia="Times New Roman" w:cstheme="majorHAnsi"/>
        </w:rPr>
      </w:pPr>
      <w:r w:rsidRPr="00D947B6">
        <w:rPr>
          <w:rFonts w:eastAsia="Times New Roman" w:cstheme="majorHAnsi"/>
          <w:iCs/>
        </w:rPr>
        <w:t>Highlights of Report in Perspective.  The full report is available on request.</w:t>
      </w:r>
    </w:p>
    <w:p w14:paraId="52939CD2" w14:textId="77777777" w:rsidR="00D947B6" w:rsidRPr="00D947B6" w:rsidRDefault="00D947B6" w:rsidP="00D947B6">
      <w:pPr>
        <w:pStyle w:val="ListParagraph"/>
        <w:numPr>
          <w:ilvl w:val="0"/>
          <w:numId w:val="50"/>
        </w:numPr>
        <w:spacing w:after="0" w:line="240" w:lineRule="auto"/>
        <w:contextualSpacing w:val="0"/>
        <w:rPr>
          <w:rFonts w:eastAsia="Times New Roman" w:cstheme="majorHAnsi"/>
        </w:rPr>
      </w:pPr>
      <w:r w:rsidRPr="00D947B6">
        <w:rPr>
          <w:rFonts w:eastAsia="Times New Roman" w:cstheme="majorHAnsi"/>
          <w:iCs/>
        </w:rPr>
        <w:t>Infographics</w:t>
      </w:r>
    </w:p>
    <w:p w14:paraId="03F401E1" w14:textId="77777777" w:rsidR="00D947B6" w:rsidRPr="00D947B6" w:rsidRDefault="00D947B6" w:rsidP="00D947B6">
      <w:pPr>
        <w:pStyle w:val="ListParagraph"/>
        <w:numPr>
          <w:ilvl w:val="0"/>
          <w:numId w:val="50"/>
        </w:numPr>
        <w:spacing w:after="0" w:line="240" w:lineRule="auto"/>
        <w:contextualSpacing w:val="0"/>
        <w:rPr>
          <w:rFonts w:eastAsia="Times New Roman" w:cstheme="majorHAnsi"/>
        </w:rPr>
      </w:pPr>
      <w:r w:rsidRPr="00D947B6">
        <w:rPr>
          <w:rFonts w:eastAsia="Times New Roman" w:cstheme="majorHAnsi"/>
          <w:iCs/>
        </w:rPr>
        <w:t>National and Regional Fact Sheets</w:t>
      </w:r>
    </w:p>
    <w:p w14:paraId="42F8C332" w14:textId="77777777" w:rsidR="00D947B6" w:rsidRPr="00D947B6" w:rsidRDefault="00D947B6" w:rsidP="00D947B6">
      <w:pPr>
        <w:pStyle w:val="ListParagraph"/>
        <w:numPr>
          <w:ilvl w:val="0"/>
          <w:numId w:val="50"/>
        </w:numPr>
        <w:spacing w:after="0" w:line="240" w:lineRule="auto"/>
        <w:contextualSpacing w:val="0"/>
        <w:rPr>
          <w:rFonts w:eastAsia="Times New Roman" w:cstheme="majorHAnsi"/>
          <w:iCs/>
        </w:rPr>
      </w:pPr>
      <w:r w:rsidRPr="00D947B6">
        <w:rPr>
          <w:rFonts w:eastAsia="Times New Roman" w:cstheme="majorHAnsi"/>
          <w:iCs/>
        </w:rPr>
        <w:t xml:space="preserve">Media Release in: Arabic, Chinese, English, Farsi, French, German, Greek, Japanese, Korean, Portuguese, Spanish and Vietnamese </w:t>
      </w:r>
    </w:p>
    <w:p w14:paraId="5C652051" w14:textId="77777777" w:rsidR="00D947B6" w:rsidRPr="00D947B6" w:rsidRDefault="00D947B6" w:rsidP="00D947B6">
      <w:pPr>
        <w:pStyle w:val="BodyA"/>
        <w:widowControl w:val="0"/>
        <w:suppressAutoHyphens/>
        <w:spacing w:after="0" w:line="240" w:lineRule="auto"/>
        <w:rPr>
          <w:rFonts w:asciiTheme="minorHAnsi" w:hAnsiTheme="minorHAnsi" w:cstheme="majorHAnsi"/>
          <w:lang w:val="en-US"/>
        </w:rPr>
      </w:pPr>
    </w:p>
    <w:p w14:paraId="2E95A462" w14:textId="77777777" w:rsidR="00D947B6" w:rsidRPr="00D947B6" w:rsidRDefault="00D947B6" w:rsidP="00D947B6">
      <w:pPr>
        <w:pStyle w:val="BodyA"/>
        <w:widowControl w:val="0"/>
        <w:suppressAutoHyphens/>
        <w:spacing w:after="0" w:line="240" w:lineRule="auto"/>
        <w:rPr>
          <w:rFonts w:asciiTheme="minorHAnsi" w:hAnsiTheme="minorHAnsi" w:cstheme="majorHAnsi"/>
          <w:lang w:val="en-US"/>
        </w:rPr>
      </w:pPr>
      <w:r w:rsidRPr="00D947B6">
        <w:rPr>
          <w:rFonts w:asciiTheme="minorHAnsi" w:hAnsiTheme="minorHAnsi" w:cstheme="majorHAnsi"/>
          <w:b/>
          <w:bCs/>
          <w:lang w:val="en-US"/>
        </w:rPr>
        <w:t xml:space="preserve">Spokesperson: </w:t>
      </w:r>
      <w:r w:rsidRPr="00D947B6">
        <w:rPr>
          <w:rFonts w:asciiTheme="minorHAnsi" w:hAnsiTheme="minorHAnsi" w:cstheme="majorHAnsi"/>
          <w:bCs/>
          <w:lang w:val="en-US"/>
        </w:rPr>
        <w:t xml:space="preserve">Rana </w:t>
      </w:r>
      <w:proofErr w:type="spellStart"/>
      <w:r w:rsidRPr="00D947B6">
        <w:rPr>
          <w:rFonts w:asciiTheme="minorHAnsi" w:hAnsiTheme="minorHAnsi" w:cstheme="majorHAnsi"/>
          <w:bCs/>
          <w:lang w:val="en-US"/>
        </w:rPr>
        <w:t>Adib</w:t>
      </w:r>
      <w:proofErr w:type="spellEnd"/>
      <w:r w:rsidRPr="00D947B6">
        <w:rPr>
          <w:rFonts w:asciiTheme="minorHAnsi" w:hAnsiTheme="minorHAnsi" w:cstheme="majorHAnsi"/>
          <w:lang w:val="en-US"/>
        </w:rPr>
        <w:t xml:space="preserve">, Executive Secretary, +33 (0) 1 44 37 50 90; </w:t>
      </w:r>
      <w:r w:rsidRPr="00BA297C">
        <w:rPr>
          <w:rFonts w:asciiTheme="minorHAnsi" w:hAnsiTheme="minorHAnsi" w:cstheme="majorHAnsi"/>
          <w:lang w:val="en-US"/>
        </w:rPr>
        <w:t>+33 (0) 7 67 44 04 13</w:t>
      </w:r>
      <w:r w:rsidRPr="00D947B6">
        <w:rPr>
          <w:rFonts w:asciiTheme="minorHAnsi" w:hAnsiTheme="minorHAnsi" w:cstheme="majorHAnsi"/>
          <w:lang w:val="en-US"/>
        </w:rPr>
        <w:t xml:space="preserve"> (m); </w:t>
      </w:r>
      <w:hyperlink r:id="rId14" w:history="1">
        <w:r w:rsidRPr="00D947B6">
          <w:rPr>
            <w:rStyle w:val="Hyperlink"/>
            <w:rFonts w:asciiTheme="minorHAnsi" w:hAnsiTheme="minorHAnsi" w:cstheme="majorHAnsi"/>
            <w:lang w:val="en-US"/>
          </w:rPr>
          <w:t>rana.adib@ren21.net</w:t>
        </w:r>
      </w:hyperlink>
    </w:p>
    <w:p w14:paraId="3DD01F17" w14:textId="77777777" w:rsidR="00D947B6" w:rsidRPr="00D947B6" w:rsidRDefault="00D947B6" w:rsidP="00D947B6">
      <w:pPr>
        <w:pStyle w:val="BodyA"/>
        <w:widowControl w:val="0"/>
        <w:suppressAutoHyphens/>
        <w:spacing w:after="0" w:line="240" w:lineRule="auto"/>
        <w:rPr>
          <w:rFonts w:asciiTheme="minorHAnsi" w:eastAsia="Times New Roman" w:hAnsiTheme="minorHAnsi" w:cstheme="majorHAnsi"/>
          <w:lang w:val="en-US"/>
        </w:rPr>
      </w:pPr>
    </w:p>
    <w:p w14:paraId="744586E0" w14:textId="77777777" w:rsidR="00D947B6" w:rsidRPr="00D947B6" w:rsidRDefault="00D947B6" w:rsidP="00D947B6">
      <w:pPr>
        <w:pStyle w:val="BodyA"/>
        <w:widowControl w:val="0"/>
        <w:suppressAutoHyphens/>
        <w:spacing w:after="0" w:line="240" w:lineRule="auto"/>
        <w:rPr>
          <w:rStyle w:val="Hyperlink"/>
          <w:rFonts w:asciiTheme="minorHAnsi" w:hAnsiTheme="minorHAnsi"/>
        </w:rPr>
      </w:pPr>
      <w:r w:rsidRPr="00D947B6">
        <w:rPr>
          <w:rFonts w:asciiTheme="minorHAnsi" w:hAnsiTheme="minorHAnsi" w:cstheme="majorHAnsi"/>
          <w:b/>
          <w:bCs/>
          <w:lang w:val="en-US"/>
        </w:rPr>
        <w:t xml:space="preserve">Media contact: </w:t>
      </w:r>
      <w:r w:rsidRPr="00D947B6">
        <w:rPr>
          <w:rFonts w:asciiTheme="minorHAnsi" w:hAnsiTheme="minorHAnsi" w:cstheme="majorHAnsi"/>
          <w:lang w:val="en-US"/>
        </w:rPr>
        <w:t xml:space="preserve">Laura Williamson, Communication and Outreach Manager, +33 (0) 1 44 37 50 99; +33 6 03 06 02 58 (m) </w:t>
      </w:r>
      <w:hyperlink r:id="rId15" w:history="1">
        <w:r w:rsidRPr="00D947B6">
          <w:rPr>
            <w:rStyle w:val="Hyperlink"/>
            <w:rFonts w:asciiTheme="minorHAnsi" w:hAnsiTheme="minorHAnsi" w:cstheme="majorHAnsi"/>
            <w:lang w:val="en-US"/>
          </w:rPr>
          <w:t>laura.williamson@ren21.net</w:t>
        </w:r>
      </w:hyperlink>
    </w:p>
    <w:p w14:paraId="2A543131" w14:textId="77777777" w:rsidR="00D947B6" w:rsidRPr="00D947B6" w:rsidRDefault="00D947B6" w:rsidP="00D947B6">
      <w:pPr>
        <w:rPr>
          <w:rFonts w:eastAsia="Arial"/>
        </w:rPr>
      </w:pPr>
    </w:p>
    <w:p w14:paraId="7AEFFB57" w14:textId="77777777" w:rsidR="006B3D2E" w:rsidRPr="00D947B6" w:rsidRDefault="006B3D2E" w:rsidP="006B3D2E">
      <w:pPr>
        <w:spacing w:after="0" w:line="240" w:lineRule="auto"/>
      </w:pPr>
    </w:p>
    <w:sectPr w:rsidR="006B3D2E" w:rsidRPr="00D947B6" w:rsidSect="008D30AF">
      <w:headerReference w:type="even" r:id="rId16"/>
      <w:headerReference w:type="default" r:id="rId17"/>
      <w:footerReference w:type="even" r:id="rId18"/>
      <w:footerReference w:type="default" r:id="rId19"/>
      <w:headerReference w:type="first" r:id="rId20"/>
      <w:footerReference w:type="first" r:id="rId21"/>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F9EB7" w14:textId="77777777" w:rsidR="00344E4E" w:rsidRDefault="00344E4E" w:rsidP="004B1806">
      <w:pPr>
        <w:spacing w:after="0" w:line="240" w:lineRule="auto"/>
      </w:pPr>
      <w:r>
        <w:separator/>
      </w:r>
    </w:p>
  </w:endnote>
  <w:endnote w:type="continuationSeparator" w:id="0">
    <w:p w14:paraId="1EA4562C" w14:textId="77777777" w:rsidR="00344E4E" w:rsidRDefault="00344E4E" w:rsidP="004B1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9ECB3" w14:textId="77777777" w:rsidR="00731B90" w:rsidRDefault="00731B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0940936"/>
      <w:docPartObj>
        <w:docPartGallery w:val="Page Numbers (Bottom of Page)"/>
        <w:docPartUnique/>
      </w:docPartObj>
    </w:sdtPr>
    <w:sdtEndPr>
      <w:rPr>
        <w:noProof/>
      </w:rPr>
    </w:sdtEndPr>
    <w:sdtContent>
      <w:p w14:paraId="26141851" w14:textId="7EB83AAA" w:rsidR="00F23946" w:rsidRDefault="00F23946" w:rsidP="008D30AF">
        <w:pPr>
          <w:pStyle w:val="Footer"/>
          <w:jc w:val="right"/>
        </w:pPr>
        <w:r>
          <w:t xml:space="preserve">Page | </w:t>
        </w:r>
        <w:r>
          <w:fldChar w:fldCharType="begin"/>
        </w:r>
        <w:r>
          <w:instrText xml:space="preserve"> PAGE   \* MERGEFORMAT </w:instrText>
        </w:r>
        <w:r>
          <w:fldChar w:fldCharType="separate"/>
        </w:r>
        <w:r w:rsidR="00ED1478">
          <w:rPr>
            <w:noProof/>
          </w:rPr>
          <w:t>3</w:t>
        </w:r>
        <w:r>
          <w:rPr>
            <w:noProof/>
          </w:rPr>
          <w:fldChar w:fldCharType="end"/>
        </w:r>
        <w:r>
          <w:rPr>
            <w:noProof/>
          </w:rPr>
          <w:t xml:space="preserve">                              </w:t>
        </w:r>
        <w:r w:rsidR="00731B90">
          <w:rPr>
            <w:noProof/>
          </w:rPr>
          <w:t xml:space="preserve">                    </w:t>
        </w:r>
        <w:r>
          <w:rPr>
            <w:noProof/>
          </w:rPr>
          <w:t xml:space="preserve">                                                                                     </w:t>
        </w:r>
        <w:r w:rsidR="000F1179" w:rsidRPr="00551126">
          <w:rPr>
            <w:rFonts w:ascii="Arial" w:hAnsi="Arial" w:cs="Arial"/>
            <w:noProof/>
            <w:sz w:val="16"/>
            <w:szCs w:val="16"/>
            <w:lang w:val="en-GB" w:eastAsia="en-GB"/>
          </w:rPr>
          <w:drawing>
            <wp:inline distT="0" distB="0" distL="0" distR="0" wp14:anchorId="3AFAD7AC" wp14:editId="4430A73E">
              <wp:extent cx="964096" cy="274523"/>
              <wp:effectExtent l="0" t="0" r="7620" b="0"/>
              <wp:docPr id="2" name="Picture 0" descr="Logo_REN21_RGB.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EN21_RGB.png"/>
                      <pic:cNvPicPr/>
                    </pic:nvPicPr>
                    <pic:blipFill>
                      <a:blip r:embed="rId2" cstate="print"/>
                      <a:stretch>
                        <a:fillRect/>
                      </a:stretch>
                    </pic:blipFill>
                    <pic:spPr>
                      <a:xfrm>
                        <a:off x="0" y="0"/>
                        <a:ext cx="973653" cy="277244"/>
                      </a:xfrm>
                      <a:prstGeom prst="rect">
                        <a:avLst/>
                      </a:prstGeom>
                    </pic:spPr>
                  </pic:pic>
                </a:graphicData>
              </a:graphic>
            </wp:inline>
          </w:drawing>
        </w:r>
      </w:p>
    </w:sdtContent>
  </w:sdt>
  <w:p w14:paraId="6BF5A527" w14:textId="77777777" w:rsidR="00F23946" w:rsidRPr="0052639C" w:rsidRDefault="00F23946">
    <w:pPr>
      <w:pStyle w:val="Footer"/>
      <w:rPr>
        <w:sz w:val="2"/>
        <w:szCs w:val="2"/>
      </w:rPr>
    </w:pPr>
    <w:r>
      <w:rPr>
        <w:sz w:val="2"/>
        <w:szCs w:val="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793"/>
      <w:gridCol w:w="5289"/>
    </w:tblGrid>
    <w:tr w:rsidR="00F23946" w:rsidRPr="00551126" w14:paraId="3177F700" w14:textId="77777777" w:rsidTr="00F23946">
      <w:trPr>
        <w:trHeight w:val="24"/>
      </w:trPr>
      <w:tc>
        <w:tcPr>
          <w:tcW w:w="4793" w:type="dxa"/>
          <w:tcBorders>
            <w:right w:val="single" w:sz="12" w:space="0" w:color="FFC000"/>
          </w:tcBorders>
          <w:shd w:val="clear" w:color="auto" w:fill="FFFFFF" w:themeFill="background1"/>
          <w:tcMar>
            <w:left w:w="144" w:type="dxa"/>
            <w:right w:w="144" w:type="dxa"/>
          </w:tcMar>
        </w:tcPr>
        <w:p w14:paraId="278D30EC" w14:textId="77777777" w:rsidR="00F23946" w:rsidRDefault="000F1179" w:rsidP="00282C1A">
          <w:pPr>
            <w:jc w:val="right"/>
          </w:pPr>
          <w:r w:rsidRPr="00551126">
            <w:rPr>
              <w:rFonts w:ascii="Arial" w:hAnsi="Arial" w:cs="Arial"/>
              <w:noProof/>
              <w:sz w:val="16"/>
              <w:szCs w:val="16"/>
              <w:lang w:val="en-GB" w:eastAsia="en-GB"/>
            </w:rPr>
            <w:drawing>
              <wp:inline distT="0" distB="0" distL="0" distR="0" wp14:anchorId="12FEC5E2" wp14:editId="52FA2B91">
                <wp:extent cx="964096" cy="274523"/>
                <wp:effectExtent l="0" t="0" r="7620" b="0"/>
                <wp:docPr id="6" name="Picture 0" descr="Logo_REN21_RGB.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EN21_RGB.png"/>
                        <pic:cNvPicPr/>
                      </pic:nvPicPr>
                      <pic:blipFill>
                        <a:blip r:embed="rId2" cstate="print"/>
                        <a:stretch>
                          <a:fillRect/>
                        </a:stretch>
                      </pic:blipFill>
                      <pic:spPr>
                        <a:xfrm>
                          <a:off x="0" y="0"/>
                          <a:ext cx="973653" cy="277244"/>
                        </a:xfrm>
                        <a:prstGeom prst="rect">
                          <a:avLst/>
                        </a:prstGeom>
                      </pic:spPr>
                    </pic:pic>
                  </a:graphicData>
                </a:graphic>
              </wp:inline>
            </w:drawing>
          </w:r>
        </w:p>
        <w:p w14:paraId="6E9A9404" w14:textId="77777777" w:rsidR="00F23946" w:rsidRPr="00551126" w:rsidRDefault="00F23946" w:rsidP="00F23946"/>
      </w:tc>
      <w:tc>
        <w:tcPr>
          <w:tcW w:w="5289" w:type="dxa"/>
          <w:tcBorders>
            <w:left w:val="single" w:sz="12" w:space="0" w:color="FFC000"/>
          </w:tcBorders>
          <w:shd w:val="clear" w:color="auto" w:fill="FFFFFF" w:themeFill="background1"/>
          <w:tcMar>
            <w:left w:w="144" w:type="dxa"/>
            <w:right w:w="144" w:type="dxa"/>
          </w:tcMar>
        </w:tcPr>
        <w:p w14:paraId="3B2D45D4" w14:textId="77777777" w:rsidR="00F23946" w:rsidRDefault="00F23946" w:rsidP="00F23946">
          <w:pPr>
            <w:rPr>
              <w:rFonts w:ascii="Tahoma" w:hAnsi="Tahoma" w:cs="Tahoma"/>
              <w:b/>
              <w:bCs/>
              <w:sz w:val="18"/>
              <w:szCs w:val="16"/>
              <w:lang w:val="fr-FR"/>
            </w:rPr>
          </w:pPr>
          <w:r w:rsidRPr="00551126">
            <w:rPr>
              <w:rFonts w:ascii="Tahoma" w:hAnsi="Tahoma" w:cs="Tahoma"/>
              <w:b/>
              <w:bCs/>
              <w:sz w:val="18"/>
              <w:szCs w:val="16"/>
              <w:lang w:val="fr-FR"/>
            </w:rPr>
            <w:t xml:space="preserve">REN21 </w:t>
          </w:r>
          <w:proofErr w:type="spellStart"/>
          <w:r w:rsidRPr="00551126">
            <w:rPr>
              <w:rFonts w:ascii="Tahoma" w:hAnsi="Tahoma" w:cs="Tahoma"/>
              <w:b/>
              <w:bCs/>
              <w:sz w:val="18"/>
              <w:szCs w:val="16"/>
              <w:lang w:val="fr-FR"/>
            </w:rPr>
            <w:t>Secretariat</w:t>
          </w:r>
          <w:proofErr w:type="spellEnd"/>
        </w:p>
        <w:p w14:paraId="52DCB0E7" w14:textId="77777777" w:rsidR="005C2C0B" w:rsidRPr="005C2C0B" w:rsidRDefault="005C2C0B" w:rsidP="00F23946">
          <w:pPr>
            <w:rPr>
              <w:rFonts w:ascii="Tahoma" w:hAnsi="Tahoma" w:cs="Tahoma"/>
              <w:b/>
              <w:bCs/>
              <w:sz w:val="8"/>
              <w:szCs w:val="8"/>
              <w:lang w:val="fr-FR"/>
            </w:rPr>
          </w:pPr>
        </w:p>
        <w:p w14:paraId="777B746B" w14:textId="77777777" w:rsidR="00F23946" w:rsidRDefault="00E74411" w:rsidP="00F23946">
          <w:pPr>
            <w:rPr>
              <w:rFonts w:ascii="Tahoma" w:hAnsi="Tahoma" w:cs="Tahoma"/>
              <w:bCs/>
              <w:sz w:val="16"/>
              <w:szCs w:val="16"/>
              <w:lang w:val="fr-FR"/>
            </w:rPr>
          </w:pPr>
          <w:r>
            <w:rPr>
              <w:rFonts w:ascii="Tahoma" w:hAnsi="Tahoma" w:cs="Tahoma"/>
              <w:bCs/>
              <w:sz w:val="16"/>
              <w:szCs w:val="16"/>
              <w:lang w:val="fr-FR"/>
            </w:rPr>
            <w:t xml:space="preserve">c/o UN </w:t>
          </w:r>
          <w:proofErr w:type="spellStart"/>
          <w:r>
            <w:rPr>
              <w:rFonts w:ascii="Tahoma" w:hAnsi="Tahoma" w:cs="Tahoma"/>
              <w:bCs/>
              <w:sz w:val="16"/>
              <w:szCs w:val="16"/>
              <w:lang w:val="fr-FR"/>
            </w:rPr>
            <w:t>Environment</w:t>
          </w:r>
          <w:proofErr w:type="spellEnd"/>
        </w:p>
        <w:p w14:paraId="562E194B" w14:textId="77777777" w:rsidR="005C2C0B" w:rsidRPr="005C2C0B" w:rsidRDefault="005C2C0B" w:rsidP="00F23946">
          <w:pPr>
            <w:rPr>
              <w:rFonts w:ascii="Tahoma" w:hAnsi="Tahoma" w:cs="Tahoma"/>
              <w:bCs/>
              <w:sz w:val="8"/>
              <w:szCs w:val="8"/>
              <w:lang w:val="fr-FR"/>
            </w:rPr>
          </w:pPr>
        </w:p>
        <w:p w14:paraId="418D25CB" w14:textId="77777777" w:rsidR="00F23946" w:rsidRPr="0092561B" w:rsidRDefault="00F23946" w:rsidP="00F23946">
          <w:pPr>
            <w:rPr>
              <w:rFonts w:ascii="Tahoma" w:hAnsi="Tahoma" w:cs="Tahoma"/>
              <w:bCs/>
              <w:sz w:val="16"/>
              <w:szCs w:val="16"/>
              <w:lang w:val="en-GB"/>
            </w:rPr>
          </w:pPr>
          <w:r w:rsidRPr="0092561B">
            <w:rPr>
              <w:rFonts w:ascii="Tahoma" w:hAnsi="Tahoma" w:cs="Tahoma"/>
              <w:bCs/>
              <w:sz w:val="16"/>
              <w:szCs w:val="16"/>
              <w:lang w:val="en-GB"/>
            </w:rPr>
            <w:t>1</w:t>
          </w:r>
          <w:r w:rsidR="00AC5795" w:rsidRPr="0092561B">
            <w:rPr>
              <w:rFonts w:ascii="Tahoma" w:hAnsi="Tahoma" w:cs="Tahoma"/>
              <w:bCs/>
              <w:sz w:val="16"/>
              <w:szCs w:val="16"/>
              <w:lang w:val="en-GB"/>
            </w:rPr>
            <w:t xml:space="preserve"> rue </w:t>
          </w:r>
          <w:proofErr w:type="spellStart"/>
          <w:r w:rsidR="00AC5795" w:rsidRPr="0092561B">
            <w:rPr>
              <w:rFonts w:ascii="Tahoma" w:hAnsi="Tahoma" w:cs="Tahoma"/>
              <w:bCs/>
              <w:sz w:val="16"/>
              <w:szCs w:val="16"/>
              <w:lang w:val="en-GB"/>
            </w:rPr>
            <w:t>Miollis</w:t>
          </w:r>
          <w:proofErr w:type="spellEnd"/>
          <w:r w:rsidR="00AC5795" w:rsidRPr="0092561B">
            <w:rPr>
              <w:rFonts w:ascii="Tahoma" w:hAnsi="Tahoma" w:cs="Tahoma"/>
              <w:bCs/>
              <w:sz w:val="16"/>
              <w:szCs w:val="16"/>
              <w:lang w:val="en-GB"/>
            </w:rPr>
            <w:t xml:space="preserve"> • Building VII </w:t>
          </w:r>
          <w:r w:rsidRPr="0092561B">
            <w:rPr>
              <w:rFonts w:ascii="Tahoma" w:hAnsi="Tahoma" w:cs="Tahoma"/>
              <w:bCs/>
              <w:sz w:val="16"/>
              <w:szCs w:val="16"/>
              <w:lang w:val="en-GB"/>
            </w:rPr>
            <w:t xml:space="preserve">• </w:t>
          </w:r>
          <w:r w:rsidR="00AC5795" w:rsidRPr="0092561B">
            <w:rPr>
              <w:rFonts w:ascii="Tahoma" w:hAnsi="Tahoma" w:cs="Tahoma"/>
              <w:bCs/>
              <w:sz w:val="16"/>
              <w:szCs w:val="16"/>
              <w:lang w:val="en-GB"/>
            </w:rPr>
            <w:t>75015 Pa</w:t>
          </w:r>
          <w:r w:rsidR="00763FC5" w:rsidRPr="0092561B">
            <w:rPr>
              <w:rFonts w:ascii="Tahoma" w:hAnsi="Tahoma" w:cs="Tahoma"/>
              <w:bCs/>
              <w:sz w:val="16"/>
              <w:szCs w:val="16"/>
              <w:lang w:val="en-GB"/>
            </w:rPr>
            <w:t xml:space="preserve">ris </w:t>
          </w:r>
          <w:r w:rsidRPr="0092561B">
            <w:rPr>
              <w:rFonts w:ascii="Tahoma" w:hAnsi="Tahoma" w:cs="Tahoma"/>
              <w:bCs/>
              <w:sz w:val="16"/>
              <w:szCs w:val="16"/>
              <w:lang w:val="en-GB"/>
            </w:rPr>
            <w:t>•</w:t>
          </w:r>
          <w:r w:rsidR="00AC5795" w:rsidRPr="0092561B">
            <w:rPr>
              <w:rFonts w:ascii="Tahoma" w:hAnsi="Tahoma" w:cs="Tahoma"/>
              <w:bCs/>
              <w:sz w:val="16"/>
              <w:szCs w:val="16"/>
              <w:lang w:val="en-GB"/>
            </w:rPr>
            <w:t xml:space="preserve"> </w:t>
          </w:r>
          <w:r w:rsidRPr="0092561B">
            <w:rPr>
              <w:rFonts w:ascii="Tahoma" w:hAnsi="Tahoma" w:cs="Tahoma"/>
              <w:bCs/>
              <w:sz w:val="16"/>
              <w:szCs w:val="16"/>
              <w:lang w:val="en-GB"/>
            </w:rPr>
            <w:t xml:space="preserve">France </w:t>
          </w:r>
        </w:p>
        <w:p w14:paraId="5EEFA487" w14:textId="77777777" w:rsidR="00F23946" w:rsidRPr="0042554B" w:rsidRDefault="00F23946" w:rsidP="00F23946">
          <w:pPr>
            <w:rPr>
              <w:rFonts w:ascii="Tahoma" w:hAnsi="Tahoma" w:cs="Tahoma"/>
              <w:bCs/>
              <w:sz w:val="16"/>
              <w:szCs w:val="16"/>
              <w:lang w:val="en-GB"/>
            </w:rPr>
          </w:pPr>
          <w:r w:rsidRPr="0042554B">
            <w:rPr>
              <w:rFonts w:ascii="Tahoma" w:hAnsi="Tahoma" w:cs="Tahoma"/>
              <w:bCs/>
              <w:sz w:val="16"/>
              <w:szCs w:val="16"/>
              <w:lang w:val="en-GB"/>
            </w:rPr>
            <w:t>Tel: +33 1 44 3</w:t>
          </w:r>
          <w:r w:rsidR="006402FA" w:rsidRPr="0042554B">
            <w:rPr>
              <w:rFonts w:ascii="Tahoma" w:hAnsi="Tahoma" w:cs="Tahoma"/>
              <w:bCs/>
              <w:sz w:val="16"/>
              <w:szCs w:val="16"/>
              <w:lang w:val="en-GB"/>
            </w:rPr>
            <w:t>7 50 90 • Fax: +33 1 44 37 14 74</w:t>
          </w:r>
        </w:p>
        <w:p w14:paraId="2A87A955" w14:textId="77777777" w:rsidR="00F23946" w:rsidRPr="00282C1A" w:rsidRDefault="00F23946" w:rsidP="00F23946">
          <w:pPr>
            <w:rPr>
              <w:rFonts w:ascii="Tahoma" w:hAnsi="Tahoma" w:cs="Tahoma"/>
              <w:bCs/>
              <w:sz w:val="18"/>
              <w:szCs w:val="16"/>
            </w:rPr>
          </w:pPr>
          <w:r w:rsidRPr="0042554B">
            <w:rPr>
              <w:rFonts w:ascii="Tahoma" w:hAnsi="Tahoma" w:cs="Tahoma"/>
              <w:bCs/>
              <w:sz w:val="16"/>
              <w:szCs w:val="16"/>
              <w:lang w:val="en-GB"/>
            </w:rPr>
            <w:t>secretariat@ren21.net • www.</w:t>
          </w:r>
          <w:r w:rsidRPr="00156F43">
            <w:rPr>
              <w:rFonts w:ascii="Tahoma" w:hAnsi="Tahoma" w:cs="Tahoma"/>
              <w:bCs/>
              <w:sz w:val="16"/>
              <w:szCs w:val="16"/>
            </w:rPr>
            <w:t>ren21.net</w:t>
          </w:r>
          <w:r w:rsidRPr="00282C1A">
            <w:rPr>
              <w:rFonts w:ascii="Tahoma" w:hAnsi="Tahoma" w:cs="Tahoma"/>
              <w:bCs/>
              <w:sz w:val="18"/>
              <w:szCs w:val="16"/>
            </w:rPr>
            <w:t xml:space="preserve"> </w:t>
          </w:r>
        </w:p>
      </w:tc>
    </w:tr>
  </w:tbl>
  <w:p w14:paraId="624B7BA9" w14:textId="77777777" w:rsidR="00F23946" w:rsidRPr="0052639C" w:rsidRDefault="00F23946">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A5830" w14:textId="77777777" w:rsidR="00344E4E" w:rsidRDefault="00344E4E" w:rsidP="004B1806">
      <w:pPr>
        <w:spacing w:after="0" w:line="240" w:lineRule="auto"/>
      </w:pPr>
      <w:r>
        <w:separator/>
      </w:r>
    </w:p>
  </w:footnote>
  <w:footnote w:type="continuationSeparator" w:id="0">
    <w:p w14:paraId="50DDCFD4" w14:textId="77777777" w:rsidR="00344E4E" w:rsidRDefault="00344E4E" w:rsidP="004B18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92377" w14:textId="77777777" w:rsidR="00731B90" w:rsidRDefault="00731B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B637D" w14:textId="77777777" w:rsidR="00F23946" w:rsidRPr="004B1806" w:rsidRDefault="00F23946" w:rsidP="00E007DD">
    <w:pPr>
      <w:spacing w:after="0" w:line="240" w:lineRule="auto"/>
      <w:jc w:val="center"/>
      <w:rPr>
        <w:rFonts w:ascii="Tahoma" w:hAnsi="Tahoma" w:cs="Tahoma"/>
        <w:b/>
        <w:bCs/>
        <w:sz w:val="16"/>
        <w:szCs w:val="16"/>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C24D8" w14:textId="77777777" w:rsidR="00F23946" w:rsidRDefault="00F23946" w:rsidP="00282C1A">
    <w:pPr>
      <w:pStyle w:val="Header"/>
      <w:jc w:val="center"/>
    </w:pPr>
    <w:r w:rsidRPr="004B1806">
      <w:rPr>
        <w:noProof/>
        <w:lang w:val="en-GB" w:eastAsia="en-GB"/>
      </w:rPr>
      <w:drawing>
        <wp:inline distT="0" distB="0" distL="0" distR="0" wp14:anchorId="198CD37C" wp14:editId="4A9A0D58">
          <wp:extent cx="2051437" cy="584139"/>
          <wp:effectExtent l="0" t="0" r="6350" b="6985"/>
          <wp:docPr id="3" name="Picture 0" descr="Logo_REN21_RGB.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EN21_RGB.png"/>
                  <pic:cNvPicPr/>
                </pic:nvPicPr>
                <pic:blipFill>
                  <a:blip r:embed="rId2" cstate="print"/>
                  <a:stretch>
                    <a:fillRect/>
                  </a:stretch>
                </pic:blipFill>
                <pic:spPr>
                  <a:xfrm>
                    <a:off x="0" y="0"/>
                    <a:ext cx="2075942" cy="59111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767BE"/>
    <w:multiLevelType w:val="hybridMultilevel"/>
    <w:tmpl w:val="77185D42"/>
    <w:lvl w:ilvl="0" w:tplc="5BC29AB8">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64D84"/>
    <w:multiLevelType w:val="hybridMultilevel"/>
    <w:tmpl w:val="1ACA33E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055C51CD"/>
    <w:multiLevelType w:val="hybridMultilevel"/>
    <w:tmpl w:val="CC1CE4A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93051"/>
    <w:multiLevelType w:val="hybridMultilevel"/>
    <w:tmpl w:val="96A479DC"/>
    <w:lvl w:ilvl="0" w:tplc="04090001">
      <w:start w:val="1"/>
      <w:numFmt w:val="bullet"/>
      <w:lvlText w:val=""/>
      <w:lvlJc w:val="left"/>
      <w:pPr>
        <w:ind w:left="360" w:hanging="360"/>
      </w:pPr>
      <w:rPr>
        <w:rFonts w:ascii="Symbol" w:hAnsi="Symbol" w:hint="default"/>
        <w:b/>
      </w:rPr>
    </w:lvl>
    <w:lvl w:ilvl="1" w:tplc="040C0019">
      <w:start w:val="1"/>
      <w:numFmt w:val="lowerLetter"/>
      <w:lvlText w:val="%2."/>
      <w:lvlJc w:val="left"/>
      <w:pPr>
        <w:ind w:left="1080" w:hanging="360"/>
      </w:pPr>
      <w:rPr>
        <w:rFonts w:cs="Times New Roman"/>
      </w:rPr>
    </w:lvl>
    <w:lvl w:ilvl="2" w:tplc="040C001B">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4" w15:restartNumberingAfterBreak="0">
    <w:nsid w:val="0B3B012B"/>
    <w:multiLevelType w:val="hybridMultilevel"/>
    <w:tmpl w:val="EBA4712E"/>
    <w:lvl w:ilvl="0" w:tplc="04090001">
      <w:start w:val="1"/>
      <w:numFmt w:val="bullet"/>
      <w:lvlText w:val=""/>
      <w:lvlJc w:val="left"/>
      <w:pPr>
        <w:ind w:left="360" w:hanging="360"/>
      </w:pPr>
      <w:rPr>
        <w:rFonts w:ascii="Symbol" w:hAnsi="Symbol" w:hint="default"/>
        <w:b/>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5" w15:restartNumberingAfterBreak="0">
    <w:nsid w:val="0C431462"/>
    <w:multiLevelType w:val="hybridMultilevel"/>
    <w:tmpl w:val="6CB87146"/>
    <w:lvl w:ilvl="0" w:tplc="5BC29AB8">
      <w:start w:val="31"/>
      <w:numFmt w:val="bullet"/>
      <w:lvlText w:val="-"/>
      <w:lvlJc w:val="left"/>
      <w:pPr>
        <w:ind w:left="1004" w:hanging="360"/>
      </w:pPr>
      <w:rPr>
        <w:rFonts w:ascii="Calibri" w:eastAsiaTheme="minorHAnsi" w:hAnsi="Calibri" w:cstheme="minorBid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0FB131C"/>
    <w:multiLevelType w:val="hybridMultilevel"/>
    <w:tmpl w:val="BE347B0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7" w15:restartNumberingAfterBreak="0">
    <w:nsid w:val="158A7372"/>
    <w:multiLevelType w:val="hybridMultilevel"/>
    <w:tmpl w:val="A22039A6"/>
    <w:lvl w:ilvl="0" w:tplc="0409000F">
      <w:start w:val="1"/>
      <w:numFmt w:val="decimal"/>
      <w:lvlText w:val="%1."/>
      <w:lvlJc w:val="left"/>
      <w:pPr>
        <w:tabs>
          <w:tab w:val="num" w:pos="360"/>
        </w:tabs>
        <w:ind w:left="360" w:hanging="360"/>
      </w:pPr>
      <w:rPr>
        <w:rFonts w:hint="default"/>
      </w:r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8" w15:restartNumberingAfterBreak="0">
    <w:nsid w:val="19266EA8"/>
    <w:multiLevelType w:val="hybridMultilevel"/>
    <w:tmpl w:val="CFF22AF0"/>
    <w:lvl w:ilvl="0" w:tplc="38AA21C2">
      <w:start w:val="1"/>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D417F"/>
    <w:multiLevelType w:val="hybridMultilevel"/>
    <w:tmpl w:val="C80E5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ED6685"/>
    <w:multiLevelType w:val="hybridMultilevel"/>
    <w:tmpl w:val="91BE9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E63FA"/>
    <w:multiLevelType w:val="hybridMultilevel"/>
    <w:tmpl w:val="64884052"/>
    <w:lvl w:ilvl="0" w:tplc="5BC29AB8">
      <w:start w:val="31"/>
      <w:numFmt w:val="bullet"/>
      <w:lvlText w:val="-"/>
      <w:lvlJc w:val="left"/>
      <w:pPr>
        <w:ind w:left="1050" w:hanging="360"/>
      </w:pPr>
      <w:rPr>
        <w:rFonts w:ascii="Calibri" w:eastAsiaTheme="minorHAnsi" w:hAnsi="Calibri" w:cstheme="minorBidi"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2" w15:restartNumberingAfterBreak="0">
    <w:nsid w:val="26E6022F"/>
    <w:multiLevelType w:val="hybridMultilevel"/>
    <w:tmpl w:val="CB0C01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8987B9B"/>
    <w:multiLevelType w:val="hybridMultilevel"/>
    <w:tmpl w:val="587C17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F46526"/>
    <w:multiLevelType w:val="hybridMultilevel"/>
    <w:tmpl w:val="FB9AE4C6"/>
    <w:lvl w:ilvl="0" w:tplc="04090001">
      <w:start w:val="1"/>
      <w:numFmt w:val="bullet"/>
      <w:lvlText w:val=""/>
      <w:lvlJc w:val="left"/>
      <w:pPr>
        <w:ind w:left="360" w:hanging="360"/>
      </w:pPr>
      <w:rPr>
        <w:rFonts w:ascii="Symbol" w:hAnsi="Symbol" w:hint="default"/>
        <w:b/>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5" w15:restartNumberingAfterBreak="0">
    <w:nsid w:val="291D0431"/>
    <w:multiLevelType w:val="hybridMultilevel"/>
    <w:tmpl w:val="DB025F08"/>
    <w:lvl w:ilvl="0" w:tplc="0409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3CE69C30">
      <w:numFmt w:val="bullet"/>
      <w:lvlText w:val="-"/>
      <w:lvlJc w:val="left"/>
      <w:pPr>
        <w:ind w:left="3600" w:hanging="360"/>
      </w:pPr>
      <w:rPr>
        <w:rFonts w:ascii="Times New Roman" w:eastAsia="SimSun" w:hAnsi="Times New Roman"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6C78EF"/>
    <w:multiLevelType w:val="hybridMultilevel"/>
    <w:tmpl w:val="95BAAD98"/>
    <w:lvl w:ilvl="0" w:tplc="3B78B2DA">
      <w:start w:val="1"/>
      <w:numFmt w:val="lowerRoman"/>
      <w:lvlText w:val="%1."/>
      <w:lvlJc w:val="left"/>
      <w:pPr>
        <w:ind w:left="360" w:hanging="360"/>
      </w:pPr>
      <w:rPr>
        <w:b w:val="0"/>
      </w:rPr>
    </w:lvl>
    <w:lvl w:ilvl="1" w:tplc="2D2679D4">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FD2794"/>
    <w:multiLevelType w:val="hybridMultilevel"/>
    <w:tmpl w:val="1B109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024A19"/>
    <w:multiLevelType w:val="hybridMultilevel"/>
    <w:tmpl w:val="C4E6572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4A1C5C"/>
    <w:multiLevelType w:val="hybridMultilevel"/>
    <w:tmpl w:val="39946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BA34D4"/>
    <w:multiLevelType w:val="hybridMultilevel"/>
    <w:tmpl w:val="704A3B92"/>
    <w:lvl w:ilvl="0" w:tplc="658E644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627A28"/>
    <w:multiLevelType w:val="hybridMultilevel"/>
    <w:tmpl w:val="3F9003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9B6B38"/>
    <w:multiLevelType w:val="hybridMultilevel"/>
    <w:tmpl w:val="0C1288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7E456A2"/>
    <w:multiLevelType w:val="hybridMultilevel"/>
    <w:tmpl w:val="82706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0E45C3"/>
    <w:multiLevelType w:val="hybridMultilevel"/>
    <w:tmpl w:val="50F2B6AE"/>
    <w:lvl w:ilvl="0" w:tplc="E4B6C556">
      <w:start w:val="1"/>
      <w:numFmt w:val="lowerRoman"/>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B3F129E"/>
    <w:multiLevelType w:val="hybridMultilevel"/>
    <w:tmpl w:val="655C14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CDE528C"/>
    <w:multiLevelType w:val="hybridMultilevel"/>
    <w:tmpl w:val="09CC1AA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C72827"/>
    <w:multiLevelType w:val="hybridMultilevel"/>
    <w:tmpl w:val="59B4A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5542E0"/>
    <w:multiLevelType w:val="hybridMultilevel"/>
    <w:tmpl w:val="7924F240"/>
    <w:lvl w:ilvl="0" w:tplc="38AA21C2">
      <w:start w:val="1"/>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1C4E54"/>
    <w:multiLevelType w:val="hybridMultilevel"/>
    <w:tmpl w:val="46CEB0EA"/>
    <w:lvl w:ilvl="0" w:tplc="560697B6">
      <w:numFmt w:val="bullet"/>
      <w:lvlText w:val="-"/>
      <w:lvlJc w:val="left"/>
      <w:pPr>
        <w:ind w:left="720" w:hanging="360"/>
      </w:pPr>
      <w:rPr>
        <w:rFonts w:ascii="Lucida Sans Unicode" w:eastAsiaTheme="minorHAnsi"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825165"/>
    <w:multiLevelType w:val="hybridMultilevel"/>
    <w:tmpl w:val="CE926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741640"/>
    <w:multiLevelType w:val="hybridMultilevel"/>
    <w:tmpl w:val="655C14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1655B4C"/>
    <w:multiLevelType w:val="hybridMultilevel"/>
    <w:tmpl w:val="548AC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1406F0"/>
    <w:multiLevelType w:val="hybridMultilevel"/>
    <w:tmpl w:val="9976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D44CB2"/>
    <w:multiLevelType w:val="hybridMultilevel"/>
    <w:tmpl w:val="F0CAF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1C6910"/>
    <w:multiLevelType w:val="hybridMultilevel"/>
    <w:tmpl w:val="8B965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87B2445"/>
    <w:multiLevelType w:val="hybridMultilevel"/>
    <w:tmpl w:val="A73E7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96C4BAC"/>
    <w:multiLevelType w:val="hybridMultilevel"/>
    <w:tmpl w:val="704A3B92"/>
    <w:lvl w:ilvl="0" w:tplc="658E644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91089D"/>
    <w:multiLevelType w:val="hybridMultilevel"/>
    <w:tmpl w:val="2466BA8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9" w15:restartNumberingAfterBreak="0">
    <w:nsid w:val="659018B4"/>
    <w:multiLevelType w:val="hybridMultilevel"/>
    <w:tmpl w:val="C94267CE"/>
    <w:lvl w:ilvl="0" w:tplc="560697B6">
      <w:numFmt w:val="bullet"/>
      <w:lvlText w:val="-"/>
      <w:lvlJc w:val="left"/>
      <w:pPr>
        <w:ind w:left="720" w:hanging="360"/>
      </w:pPr>
      <w:rPr>
        <w:rFonts w:ascii="Lucida Sans Unicode" w:eastAsiaTheme="minorHAnsi"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0C2632"/>
    <w:multiLevelType w:val="multilevel"/>
    <w:tmpl w:val="F8465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210D76"/>
    <w:multiLevelType w:val="hybridMultilevel"/>
    <w:tmpl w:val="131C7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977516"/>
    <w:multiLevelType w:val="hybridMultilevel"/>
    <w:tmpl w:val="25D48126"/>
    <w:lvl w:ilvl="0" w:tplc="04090001">
      <w:start w:val="1"/>
      <w:numFmt w:val="bullet"/>
      <w:lvlText w:val=""/>
      <w:lvlJc w:val="left"/>
      <w:pPr>
        <w:ind w:left="360" w:hanging="360"/>
      </w:pPr>
      <w:rPr>
        <w:rFonts w:ascii="Symbol" w:hAnsi="Symbol" w:hint="default"/>
        <w:b/>
      </w:rPr>
    </w:lvl>
    <w:lvl w:ilvl="1" w:tplc="040C0019">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43" w15:restartNumberingAfterBreak="0">
    <w:nsid w:val="6AF61EF4"/>
    <w:multiLevelType w:val="hybridMultilevel"/>
    <w:tmpl w:val="409041D8"/>
    <w:lvl w:ilvl="0" w:tplc="468CB836">
      <w:start w:val="1"/>
      <w:numFmt w:val="bullet"/>
      <w:lvlText w:val=""/>
      <w:lvlJc w:val="left"/>
      <w:pPr>
        <w:tabs>
          <w:tab w:val="num" w:pos="720"/>
        </w:tabs>
        <w:ind w:left="720" w:hanging="360"/>
      </w:pPr>
      <w:rPr>
        <w:rFonts w:ascii="Wingdings" w:hAnsi="Wingdings" w:hint="default"/>
      </w:rPr>
    </w:lvl>
    <w:lvl w:ilvl="1" w:tplc="723AB8B8" w:tentative="1">
      <w:start w:val="1"/>
      <w:numFmt w:val="bullet"/>
      <w:lvlText w:val=""/>
      <w:lvlJc w:val="left"/>
      <w:pPr>
        <w:tabs>
          <w:tab w:val="num" w:pos="1440"/>
        </w:tabs>
        <w:ind w:left="1440" w:hanging="360"/>
      </w:pPr>
      <w:rPr>
        <w:rFonts w:ascii="Wingdings" w:hAnsi="Wingdings" w:hint="default"/>
      </w:rPr>
    </w:lvl>
    <w:lvl w:ilvl="2" w:tplc="1C90FF3C" w:tentative="1">
      <w:start w:val="1"/>
      <w:numFmt w:val="bullet"/>
      <w:lvlText w:val=""/>
      <w:lvlJc w:val="left"/>
      <w:pPr>
        <w:tabs>
          <w:tab w:val="num" w:pos="2160"/>
        </w:tabs>
        <w:ind w:left="2160" w:hanging="360"/>
      </w:pPr>
      <w:rPr>
        <w:rFonts w:ascii="Wingdings" w:hAnsi="Wingdings" w:hint="default"/>
      </w:rPr>
    </w:lvl>
    <w:lvl w:ilvl="3" w:tplc="5C6AEB10" w:tentative="1">
      <w:start w:val="1"/>
      <w:numFmt w:val="bullet"/>
      <w:lvlText w:val=""/>
      <w:lvlJc w:val="left"/>
      <w:pPr>
        <w:tabs>
          <w:tab w:val="num" w:pos="2880"/>
        </w:tabs>
        <w:ind w:left="2880" w:hanging="360"/>
      </w:pPr>
      <w:rPr>
        <w:rFonts w:ascii="Wingdings" w:hAnsi="Wingdings" w:hint="default"/>
      </w:rPr>
    </w:lvl>
    <w:lvl w:ilvl="4" w:tplc="71B24EC0" w:tentative="1">
      <w:start w:val="1"/>
      <w:numFmt w:val="bullet"/>
      <w:lvlText w:val=""/>
      <w:lvlJc w:val="left"/>
      <w:pPr>
        <w:tabs>
          <w:tab w:val="num" w:pos="3600"/>
        </w:tabs>
        <w:ind w:left="3600" w:hanging="360"/>
      </w:pPr>
      <w:rPr>
        <w:rFonts w:ascii="Wingdings" w:hAnsi="Wingdings" w:hint="default"/>
      </w:rPr>
    </w:lvl>
    <w:lvl w:ilvl="5" w:tplc="A3CE8E8A" w:tentative="1">
      <w:start w:val="1"/>
      <w:numFmt w:val="bullet"/>
      <w:lvlText w:val=""/>
      <w:lvlJc w:val="left"/>
      <w:pPr>
        <w:tabs>
          <w:tab w:val="num" w:pos="4320"/>
        </w:tabs>
        <w:ind w:left="4320" w:hanging="360"/>
      </w:pPr>
      <w:rPr>
        <w:rFonts w:ascii="Wingdings" w:hAnsi="Wingdings" w:hint="default"/>
      </w:rPr>
    </w:lvl>
    <w:lvl w:ilvl="6" w:tplc="B7805C3A" w:tentative="1">
      <w:start w:val="1"/>
      <w:numFmt w:val="bullet"/>
      <w:lvlText w:val=""/>
      <w:lvlJc w:val="left"/>
      <w:pPr>
        <w:tabs>
          <w:tab w:val="num" w:pos="5040"/>
        </w:tabs>
        <w:ind w:left="5040" w:hanging="360"/>
      </w:pPr>
      <w:rPr>
        <w:rFonts w:ascii="Wingdings" w:hAnsi="Wingdings" w:hint="default"/>
      </w:rPr>
    </w:lvl>
    <w:lvl w:ilvl="7" w:tplc="8744A0E0" w:tentative="1">
      <w:start w:val="1"/>
      <w:numFmt w:val="bullet"/>
      <w:lvlText w:val=""/>
      <w:lvlJc w:val="left"/>
      <w:pPr>
        <w:tabs>
          <w:tab w:val="num" w:pos="5760"/>
        </w:tabs>
        <w:ind w:left="5760" w:hanging="360"/>
      </w:pPr>
      <w:rPr>
        <w:rFonts w:ascii="Wingdings" w:hAnsi="Wingdings" w:hint="default"/>
      </w:rPr>
    </w:lvl>
    <w:lvl w:ilvl="8" w:tplc="59F2154A"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1627F7"/>
    <w:multiLevelType w:val="multilevel"/>
    <w:tmpl w:val="B8AE6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971159"/>
    <w:multiLevelType w:val="hybridMultilevel"/>
    <w:tmpl w:val="6C08DBEC"/>
    <w:lvl w:ilvl="0" w:tplc="04090003">
      <w:start w:val="1"/>
      <w:numFmt w:val="lowerRoman"/>
      <w:lvlText w:val="%1."/>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E3C39AD"/>
    <w:multiLevelType w:val="hybridMultilevel"/>
    <w:tmpl w:val="C59CA22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3DE5050"/>
    <w:multiLevelType w:val="hybridMultilevel"/>
    <w:tmpl w:val="ACE69CC0"/>
    <w:lvl w:ilvl="0" w:tplc="560697B6">
      <w:numFmt w:val="bullet"/>
      <w:lvlText w:val="-"/>
      <w:lvlJc w:val="left"/>
      <w:pPr>
        <w:ind w:left="1080" w:hanging="360"/>
      </w:pPr>
      <w:rPr>
        <w:rFonts w:ascii="Lucida Sans Unicode" w:eastAsiaTheme="minorHAnsi" w:hAnsi="Lucida Sans Unicode" w:cs="Lucida Sans Unicode"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5C545D6"/>
    <w:multiLevelType w:val="hybridMultilevel"/>
    <w:tmpl w:val="F56A6F30"/>
    <w:lvl w:ilvl="0" w:tplc="DEB09D40">
      <w:start w:val="1"/>
      <w:numFmt w:val="lowerRoman"/>
      <w:lvlText w:val="%1."/>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EA5468B"/>
    <w:multiLevelType w:val="hybridMultilevel"/>
    <w:tmpl w:val="0D167FE4"/>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4"/>
  </w:num>
  <w:num w:numId="2">
    <w:abstractNumId w:val="40"/>
  </w:num>
  <w:num w:numId="3">
    <w:abstractNumId w:val="41"/>
  </w:num>
  <w:num w:numId="4">
    <w:abstractNumId w:val="34"/>
  </w:num>
  <w:num w:numId="5">
    <w:abstractNumId w:val="7"/>
  </w:num>
  <w:num w:numId="6">
    <w:abstractNumId w:val="38"/>
  </w:num>
  <w:num w:numId="7">
    <w:abstractNumId w:val="28"/>
  </w:num>
  <w:num w:numId="8">
    <w:abstractNumId w:val="8"/>
  </w:num>
  <w:num w:numId="9">
    <w:abstractNumId w:val="36"/>
  </w:num>
  <w:num w:numId="10">
    <w:abstractNumId w:val="33"/>
  </w:num>
  <w:num w:numId="11">
    <w:abstractNumId w:val="18"/>
  </w:num>
  <w:num w:numId="12">
    <w:abstractNumId w:val="48"/>
  </w:num>
  <w:num w:numId="13">
    <w:abstractNumId w:val="24"/>
  </w:num>
  <w:num w:numId="14">
    <w:abstractNumId w:val="16"/>
  </w:num>
  <w:num w:numId="15">
    <w:abstractNumId w:val="45"/>
  </w:num>
  <w:num w:numId="16">
    <w:abstractNumId w:val="13"/>
  </w:num>
  <w:num w:numId="17">
    <w:abstractNumId w:val="23"/>
  </w:num>
  <w:num w:numId="18">
    <w:abstractNumId w:val="32"/>
  </w:num>
  <w:num w:numId="19">
    <w:abstractNumId w:val="17"/>
  </w:num>
  <w:num w:numId="20">
    <w:abstractNumId w:val="15"/>
  </w:num>
  <w:num w:numId="21">
    <w:abstractNumId w:val="21"/>
  </w:num>
  <w:num w:numId="22">
    <w:abstractNumId w:val="0"/>
  </w:num>
  <w:num w:numId="23">
    <w:abstractNumId w:val="11"/>
  </w:num>
  <w:num w:numId="24">
    <w:abstractNumId w:val="5"/>
  </w:num>
  <w:num w:numId="25">
    <w:abstractNumId w:val="46"/>
  </w:num>
  <w:num w:numId="26">
    <w:abstractNumId w:val="26"/>
  </w:num>
  <w:num w:numId="27">
    <w:abstractNumId w:val="1"/>
  </w:num>
  <w:num w:numId="28">
    <w:abstractNumId w:val="6"/>
  </w:num>
  <w:num w:numId="29">
    <w:abstractNumId w:val="19"/>
  </w:num>
  <w:num w:numId="30">
    <w:abstractNumId w:val="12"/>
  </w:num>
  <w:num w:numId="31">
    <w:abstractNumId w:val="22"/>
  </w:num>
  <w:num w:numId="32">
    <w:abstractNumId w:val="25"/>
  </w:num>
  <w:num w:numId="33">
    <w:abstractNumId w:val="4"/>
  </w:num>
  <w:num w:numId="34">
    <w:abstractNumId w:val="42"/>
  </w:num>
  <w:num w:numId="35">
    <w:abstractNumId w:val="3"/>
  </w:num>
  <w:num w:numId="36">
    <w:abstractNumId w:val="14"/>
  </w:num>
  <w:num w:numId="37">
    <w:abstractNumId w:val="31"/>
  </w:num>
  <w:num w:numId="38">
    <w:abstractNumId w:val="30"/>
  </w:num>
  <w:num w:numId="39">
    <w:abstractNumId w:val="43"/>
  </w:num>
  <w:num w:numId="40">
    <w:abstractNumId w:val="10"/>
  </w:num>
  <w:num w:numId="41">
    <w:abstractNumId w:val="27"/>
  </w:num>
  <w:num w:numId="42">
    <w:abstractNumId w:val="49"/>
  </w:num>
  <w:num w:numId="43">
    <w:abstractNumId w:val="2"/>
  </w:num>
  <w:num w:numId="44">
    <w:abstractNumId w:val="37"/>
  </w:num>
  <w:num w:numId="45">
    <w:abstractNumId w:val="20"/>
  </w:num>
  <w:num w:numId="46">
    <w:abstractNumId w:val="39"/>
  </w:num>
  <w:num w:numId="47">
    <w:abstractNumId w:val="29"/>
  </w:num>
  <w:num w:numId="48">
    <w:abstractNumId w:val="9"/>
  </w:num>
  <w:num w:numId="49">
    <w:abstractNumId w:val="47"/>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B81"/>
    <w:rsid w:val="00005AB5"/>
    <w:rsid w:val="00014E45"/>
    <w:rsid w:val="000F1179"/>
    <w:rsid w:val="001135CC"/>
    <w:rsid w:val="0012787B"/>
    <w:rsid w:val="001333DE"/>
    <w:rsid w:val="00153C8C"/>
    <w:rsid w:val="00156F43"/>
    <w:rsid w:val="001856F8"/>
    <w:rsid w:val="00194443"/>
    <w:rsid w:val="001B5B94"/>
    <w:rsid w:val="001D0C1D"/>
    <w:rsid w:val="001D5291"/>
    <w:rsid w:val="001F504A"/>
    <w:rsid w:val="002031A7"/>
    <w:rsid w:val="00244C62"/>
    <w:rsid w:val="00282C1A"/>
    <w:rsid w:val="002C06CF"/>
    <w:rsid w:val="002E179C"/>
    <w:rsid w:val="00344E4E"/>
    <w:rsid w:val="003C03F1"/>
    <w:rsid w:val="003D377F"/>
    <w:rsid w:val="0042554B"/>
    <w:rsid w:val="00427A50"/>
    <w:rsid w:val="004547CF"/>
    <w:rsid w:val="004B1806"/>
    <w:rsid w:val="004B1BB1"/>
    <w:rsid w:val="004B2253"/>
    <w:rsid w:val="004B432E"/>
    <w:rsid w:val="004D5C3A"/>
    <w:rsid w:val="00502698"/>
    <w:rsid w:val="00514A15"/>
    <w:rsid w:val="0052639C"/>
    <w:rsid w:val="00550178"/>
    <w:rsid w:val="00551126"/>
    <w:rsid w:val="00562700"/>
    <w:rsid w:val="005A23F9"/>
    <w:rsid w:val="005C1BFB"/>
    <w:rsid w:val="005C2C0B"/>
    <w:rsid w:val="00611F35"/>
    <w:rsid w:val="00620C7F"/>
    <w:rsid w:val="006402FA"/>
    <w:rsid w:val="0064377B"/>
    <w:rsid w:val="00663F48"/>
    <w:rsid w:val="006B3D2E"/>
    <w:rsid w:val="00711E60"/>
    <w:rsid w:val="007318F0"/>
    <w:rsid w:val="00731B90"/>
    <w:rsid w:val="00737891"/>
    <w:rsid w:val="00763FC5"/>
    <w:rsid w:val="007F6829"/>
    <w:rsid w:val="00817771"/>
    <w:rsid w:val="00823BAC"/>
    <w:rsid w:val="00876370"/>
    <w:rsid w:val="008D30AF"/>
    <w:rsid w:val="008E7371"/>
    <w:rsid w:val="008F1B81"/>
    <w:rsid w:val="00920614"/>
    <w:rsid w:val="0092561B"/>
    <w:rsid w:val="00947F91"/>
    <w:rsid w:val="009C314C"/>
    <w:rsid w:val="00A2015A"/>
    <w:rsid w:val="00A50EFD"/>
    <w:rsid w:val="00A579C7"/>
    <w:rsid w:val="00AC5795"/>
    <w:rsid w:val="00B05F8F"/>
    <w:rsid w:val="00B207BD"/>
    <w:rsid w:val="00B62BA8"/>
    <w:rsid w:val="00BA297C"/>
    <w:rsid w:val="00C521A8"/>
    <w:rsid w:val="00C948A5"/>
    <w:rsid w:val="00CE755E"/>
    <w:rsid w:val="00D12399"/>
    <w:rsid w:val="00D33ABE"/>
    <w:rsid w:val="00D45E84"/>
    <w:rsid w:val="00D77545"/>
    <w:rsid w:val="00D81CDE"/>
    <w:rsid w:val="00D947B6"/>
    <w:rsid w:val="00DB03FC"/>
    <w:rsid w:val="00DD4F39"/>
    <w:rsid w:val="00DF7803"/>
    <w:rsid w:val="00E007DD"/>
    <w:rsid w:val="00E74411"/>
    <w:rsid w:val="00E77060"/>
    <w:rsid w:val="00EA55E2"/>
    <w:rsid w:val="00ED1478"/>
    <w:rsid w:val="00EE1FAC"/>
    <w:rsid w:val="00F0047E"/>
    <w:rsid w:val="00F23946"/>
    <w:rsid w:val="00F3273B"/>
    <w:rsid w:val="00F42C0A"/>
    <w:rsid w:val="00F43693"/>
    <w:rsid w:val="00F56B97"/>
    <w:rsid w:val="00F61043"/>
    <w:rsid w:val="00F65462"/>
    <w:rsid w:val="00F72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A04CB"/>
  <w15:docId w15:val="{656CF367-73EF-43C6-A071-BA5E55DE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1F504A"/>
    <w:pPr>
      <w:keepNext/>
      <w:keepLines/>
      <w:spacing w:before="480" w:after="0"/>
      <w:jc w:val="both"/>
      <w:outlineLvl w:val="0"/>
    </w:pPr>
    <w:rPr>
      <w:rFonts w:ascii="Tahoma" w:eastAsia="Times New Roman" w:hAnsi="Tahoma" w:cs="Times New Roman"/>
      <w:b/>
      <w:bCs/>
      <w:sz w:val="28"/>
      <w:szCs w:val="28"/>
      <w:lang w:val="en-GB"/>
    </w:rPr>
  </w:style>
  <w:style w:type="paragraph" w:styleId="Heading3">
    <w:name w:val="heading 3"/>
    <w:basedOn w:val="Normal"/>
    <w:next w:val="Normal"/>
    <w:link w:val="Heading3Char"/>
    <w:rsid w:val="0055017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B81"/>
    <w:rPr>
      <w:rFonts w:ascii="Tahoma" w:hAnsi="Tahoma" w:cs="Tahoma"/>
      <w:sz w:val="16"/>
      <w:szCs w:val="16"/>
      <w:lang w:val="en-GB"/>
    </w:rPr>
  </w:style>
  <w:style w:type="table" w:styleId="TableGrid">
    <w:name w:val="Table Grid"/>
    <w:basedOn w:val="TableNormal"/>
    <w:uiPriority w:val="59"/>
    <w:rsid w:val="00731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18F0"/>
    <w:rPr>
      <w:color w:val="0000FF" w:themeColor="hyperlink"/>
      <w:u w:val="single"/>
    </w:rPr>
  </w:style>
  <w:style w:type="paragraph" w:styleId="Header">
    <w:name w:val="header"/>
    <w:basedOn w:val="Normal"/>
    <w:link w:val="HeaderChar"/>
    <w:uiPriority w:val="99"/>
    <w:unhideWhenUsed/>
    <w:rsid w:val="004B18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806"/>
    <w:rPr>
      <w:lang w:val="en-GB"/>
    </w:rPr>
  </w:style>
  <w:style w:type="paragraph" w:styleId="Footer">
    <w:name w:val="footer"/>
    <w:basedOn w:val="Normal"/>
    <w:link w:val="FooterChar"/>
    <w:uiPriority w:val="99"/>
    <w:unhideWhenUsed/>
    <w:rsid w:val="004B1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806"/>
    <w:rPr>
      <w:lang w:val="en-GB"/>
    </w:rPr>
  </w:style>
  <w:style w:type="paragraph" w:styleId="ListParagraph">
    <w:name w:val="List Paragraph"/>
    <w:basedOn w:val="Normal"/>
    <w:uiPriority w:val="34"/>
    <w:qFormat/>
    <w:rsid w:val="00282C1A"/>
    <w:pPr>
      <w:ind w:left="720"/>
      <w:contextualSpacing/>
    </w:pPr>
  </w:style>
  <w:style w:type="character" w:customStyle="1" w:styleId="Heading3Char">
    <w:name w:val="Heading 3 Char"/>
    <w:basedOn w:val="DefaultParagraphFont"/>
    <w:link w:val="Heading3"/>
    <w:rsid w:val="00550178"/>
    <w:rPr>
      <w:rFonts w:asciiTheme="majorHAnsi" w:eastAsiaTheme="majorEastAsia" w:hAnsiTheme="majorHAnsi" w:cstheme="majorBidi"/>
      <w:b/>
      <w:bCs/>
      <w:color w:val="4F81BD" w:themeColor="accent1"/>
    </w:rPr>
  </w:style>
  <w:style w:type="character" w:customStyle="1" w:styleId="awc-39746364">
    <w:name w:val="awc-39746364"/>
    <w:basedOn w:val="DefaultParagraphFont"/>
    <w:rsid w:val="00550178"/>
  </w:style>
  <w:style w:type="character" w:styleId="CommentReference">
    <w:name w:val="annotation reference"/>
    <w:basedOn w:val="DefaultParagraphFont"/>
    <w:uiPriority w:val="99"/>
    <w:semiHidden/>
    <w:unhideWhenUsed/>
    <w:rsid w:val="001135CC"/>
    <w:rPr>
      <w:sz w:val="16"/>
      <w:szCs w:val="16"/>
    </w:rPr>
  </w:style>
  <w:style w:type="paragraph" w:styleId="CommentText">
    <w:name w:val="annotation text"/>
    <w:basedOn w:val="Normal"/>
    <w:link w:val="CommentTextChar"/>
    <w:uiPriority w:val="99"/>
    <w:semiHidden/>
    <w:unhideWhenUsed/>
    <w:rsid w:val="001135CC"/>
    <w:pPr>
      <w:spacing w:line="240" w:lineRule="auto"/>
    </w:pPr>
    <w:rPr>
      <w:sz w:val="20"/>
      <w:szCs w:val="20"/>
    </w:rPr>
  </w:style>
  <w:style w:type="character" w:customStyle="1" w:styleId="CommentTextChar">
    <w:name w:val="Comment Text Char"/>
    <w:basedOn w:val="DefaultParagraphFont"/>
    <w:link w:val="CommentText"/>
    <w:uiPriority w:val="99"/>
    <w:semiHidden/>
    <w:rsid w:val="001135CC"/>
    <w:rPr>
      <w:sz w:val="20"/>
      <w:szCs w:val="20"/>
    </w:rPr>
  </w:style>
  <w:style w:type="paragraph" w:styleId="CommentSubject">
    <w:name w:val="annotation subject"/>
    <w:basedOn w:val="CommentText"/>
    <w:next w:val="CommentText"/>
    <w:link w:val="CommentSubjectChar"/>
    <w:uiPriority w:val="99"/>
    <w:semiHidden/>
    <w:unhideWhenUsed/>
    <w:rsid w:val="001135CC"/>
    <w:rPr>
      <w:b/>
      <w:bCs/>
    </w:rPr>
  </w:style>
  <w:style w:type="character" w:customStyle="1" w:styleId="CommentSubjectChar">
    <w:name w:val="Comment Subject Char"/>
    <w:basedOn w:val="CommentTextChar"/>
    <w:link w:val="CommentSubject"/>
    <w:uiPriority w:val="99"/>
    <w:semiHidden/>
    <w:rsid w:val="001135CC"/>
    <w:rPr>
      <w:b/>
      <w:bCs/>
      <w:sz w:val="20"/>
      <w:szCs w:val="20"/>
    </w:rPr>
  </w:style>
  <w:style w:type="paragraph" w:customStyle="1" w:styleId="Default">
    <w:name w:val="Default"/>
    <w:basedOn w:val="Normal"/>
    <w:rsid w:val="00F43693"/>
    <w:pPr>
      <w:autoSpaceDE w:val="0"/>
      <w:autoSpaceDN w:val="0"/>
      <w:spacing w:after="0" w:line="240" w:lineRule="auto"/>
    </w:pPr>
    <w:rPr>
      <w:rFonts w:ascii="Calibri" w:eastAsiaTheme="minorHAnsi" w:hAnsi="Calibri" w:cs="Times New Roman"/>
      <w:color w:val="000000"/>
      <w:sz w:val="24"/>
      <w:szCs w:val="24"/>
    </w:rPr>
  </w:style>
  <w:style w:type="character" w:customStyle="1" w:styleId="Heading1Char">
    <w:name w:val="Heading 1 Char"/>
    <w:basedOn w:val="DefaultParagraphFont"/>
    <w:link w:val="Heading1"/>
    <w:uiPriority w:val="99"/>
    <w:rsid w:val="001F504A"/>
    <w:rPr>
      <w:rFonts w:ascii="Tahoma" w:eastAsia="Times New Roman" w:hAnsi="Tahoma" w:cs="Times New Roman"/>
      <w:b/>
      <w:bCs/>
      <w:sz w:val="28"/>
      <w:szCs w:val="28"/>
      <w:lang w:val="en-GB"/>
    </w:rPr>
  </w:style>
  <w:style w:type="paragraph" w:styleId="Title">
    <w:name w:val="Title"/>
    <w:basedOn w:val="Normal"/>
    <w:next w:val="Normal"/>
    <w:link w:val="TitleChar"/>
    <w:uiPriority w:val="99"/>
    <w:qFormat/>
    <w:rsid w:val="001F504A"/>
    <w:pPr>
      <w:pBdr>
        <w:bottom w:val="single" w:sz="8" w:space="4" w:color="FFC000"/>
      </w:pBdr>
      <w:spacing w:after="300" w:line="240" w:lineRule="auto"/>
      <w:contextualSpacing/>
      <w:jc w:val="both"/>
    </w:pPr>
    <w:rPr>
      <w:rFonts w:ascii="Tahoma" w:eastAsia="Times New Roman" w:hAnsi="Tahoma" w:cs="Times New Roman"/>
      <w:spacing w:val="5"/>
      <w:kern w:val="28"/>
      <w:sz w:val="52"/>
      <w:szCs w:val="52"/>
      <w:lang w:val="en-GB"/>
    </w:rPr>
  </w:style>
  <w:style w:type="character" w:customStyle="1" w:styleId="TitleChar">
    <w:name w:val="Title Char"/>
    <w:basedOn w:val="DefaultParagraphFont"/>
    <w:link w:val="Title"/>
    <w:uiPriority w:val="99"/>
    <w:rsid w:val="001F504A"/>
    <w:rPr>
      <w:rFonts w:ascii="Tahoma" w:eastAsia="Times New Roman" w:hAnsi="Tahoma" w:cs="Times New Roman"/>
      <w:spacing w:val="5"/>
      <w:kern w:val="28"/>
      <w:sz w:val="52"/>
      <w:szCs w:val="52"/>
      <w:lang w:val="en-GB"/>
    </w:rPr>
  </w:style>
  <w:style w:type="paragraph" w:styleId="Subtitle">
    <w:name w:val="Subtitle"/>
    <w:basedOn w:val="Normal"/>
    <w:next w:val="Normal"/>
    <w:link w:val="SubtitleChar"/>
    <w:uiPriority w:val="99"/>
    <w:qFormat/>
    <w:rsid w:val="001F504A"/>
    <w:pPr>
      <w:numPr>
        <w:ilvl w:val="1"/>
      </w:numPr>
      <w:jc w:val="both"/>
    </w:pPr>
    <w:rPr>
      <w:rFonts w:ascii="Tahoma" w:eastAsia="Times New Roman" w:hAnsi="Tahoma" w:cs="Times New Roman"/>
      <w:i/>
      <w:iCs/>
      <w:color w:val="808080"/>
      <w:spacing w:val="15"/>
      <w:sz w:val="24"/>
      <w:szCs w:val="24"/>
      <w:lang w:val="en-GB"/>
    </w:rPr>
  </w:style>
  <w:style w:type="character" w:customStyle="1" w:styleId="SubtitleChar">
    <w:name w:val="Subtitle Char"/>
    <w:basedOn w:val="DefaultParagraphFont"/>
    <w:link w:val="Subtitle"/>
    <w:uiPriority w:val="99"/>
    <w:rsid w:val="001F504A"/>
    <w:rPr>
      <w:rFonts w:ascii="Tahoma" w:eastAsia="Times New Roman" w:hAnsi="Tahoma" w:cs="Times New Roman"/>
      <w:i/>
      <w:iCs/>
      <w:color w:val="808080"/>
      <w:spacing w:val="15"/>
      <w:sz w:val="24"/>
      <w:szCs w:val="24"/>
      <w:lang w:val="en-GB"/>
    </w:rPr>
  </w:style>
  <w:style w:type="paragraph" w:styleId="NormalWeb">
    <w:name w:val="Normal (Web)"/>
    <w:basedOn w:val="Normal"/>
    <w:uiPriority w:val="99"/>
    <w:unhideWhenUsed/>
    <w:rsid w:val="0092561B"/>
    <w:pPr>
      <w:spacing w:before="100" w:beforeAutospacing="1" w:after="100" w:afterAutospacing="1" w:line="240" w:lineRule="auto"/>
    </w:pPr>
    <w:rPr>
      <w:rFonts w:ascii="Times" w:eastAsia="Times New Roman" w:hAnsi="Times" w:cs="Times New Roman"/>
      <w:sz w:val="20"/>
      <w:szCs w:val="20"/>
    </w:rPr>
  </w:style>
  <w:style w:type="character" w:styleId="Strong">
    <w:name w:val="Strong"/>
    <w:basedOn w:val="DefaultParagraphFont"/>
    <w:uiPriority w:val="22"/>
    <w:qFormat/>
    <w:rsid w:val="00A579C7"/>
    <w:rPr>
      <w:b/>
      <w:bCs/>
    </w:rPr>
  </w:style>
  <w:style w:type="paragraph" w:customStyle="1" w:styleId="BodyA">
    <w:name w:val="Body A"/>
    <w:rsid w:val="00D947B6"/>
    <w:rPr>
      <w:rFonts w:ascii="Calibri" w:eastAsia="Arial Unicode MS" w:hAnsi="Arial Unicode MS" w:cs="Arial Unicode MS"/>
      <w:color w:val="000000"/>
      <w:u w:color="000000"/>
      <w:lang w:val="es-ES_tradnl" w:eastAsia="de-DE"/>
    </w:rPr>
  </w:style>
  <w:style w:type="character" w:customStyle="1" w:styleId="UnresolvedMention">
    <w:name w:val="Unresolved Mention"/>
    <w:basedOn w:val="DefaultParagraphFont"/>
    <w:uiPriority w:val="99"/>
    <w:semiHidden/>
    <w:unhideWhenUsed/>
    <w:rsid w:val="007F682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68215">
      <w:bodyDiv w:val="1"/>
      <w:marLeft w:val="0"/>
      <w:marRight w:val="0"/>
      <w:marTop w:val="0"/>
      <w:marBottom w:val="0"/>
      <w:divBdr>
        <w:top w:val="none" w:sz="0" w:space="0" w:color="auto"/>
        <w:left w:val="none" w:sz="0" w:space="0" w:color="auto"/>
        <w:bottom w:val="none" w:sz="0" w:space="0" w:color="auto"/>
        <w:right w:val="none" w:sz="0" w:space="0" w:color="auto"/>
      </w:divBdr>
    </w:div>
    <w:div w:id="233976726">
      <w:bodyDiv w:val="1"/>
      <w:marLeft w:val="0"/>
      <w:marRight w:val="0"/>
      <w:marTop w:val="0"/>
      <w:marBottom w:val="0"/>
      <w:divBdr>
        <w:top w:val="none" w:sz="0" w:space="0" w:color="auto"/>
        <w:left w:val="none" w:sz="0" w:space="0" w:color="auto"/>
        <w:bottom w:val="none" w:sz="0" w:space="0" w:color="auto"/>
        <w:right w:val="none" w:sz="0" w:space="0" w:color="auto"/>
      </w:divBdr>
    </w:div>
    <w:div w:id="501746362">
      <w:bodyDiv w:val="1"/>
      <w:marLeft w:val="0"/>
      <w:marRight w:val="0"/>
      <w:marTop w:val="0"/>
      <w:marBottom w:val="0"/>
      <w:divBdr>
        <w:top w:val="none" w:sz="0" w:space="0" w:color="auto"/>
        <w:left w:val="none" w:sz="0" w:space="0" w:color="auto"/>
        <w:bottom w:val="none" w:sz="0" w:space="0" w:color="auto"/>
        <w:right w:val="none" w:sz="0" w:space="0" w:color="auto"/>
      </w:divBdr>
    </w:div>
    <w:div w:id="639923366">
      <w:bodyDiv w:val="1"/>
      <w:marLeft w:val="0"/>
      <w:marRight w:val="0"/>
      <w:marTop w:val="0"/>
      <w:marBottom w:val="0"/>
      <w:divBdr>
        <w:top w:val="none" w:sz="0" w:space="0" w:color="auto"/>
        <w:left w:val="none" w:sz="0" w:space="0" w:color="auto"/>
        <w:bottom w:val="none" w:sz="0" w:space="0" w:color="auto"/>
        <w:right w:val="none" w:sz="0" w:space="0" w:color="auto"/>
      </w:divBdr>
    </w:div>
    <w:div w:id="815688237">
      <w:bodyDiv w:val="1"/>
      <w:marLeft w:val="0"/>
      <w:marRight w:val="0"/>
      <w:marTop w:val="0"/>
      <w:marBottom w:val="0"/>
      <w:divBdr>
        <w:top w:val="none" w:sz="0" w:space="0" w:color="auto"/>
        <w:left w:val="none" w:sz="0" w:space="0" w:color="auto"/>
        <w:bottom w:val="none" w:sz="0" w:space="0" w:color="auto"/>
        <w:right w:val="none" w:sz="0" w:space="0" w:color="auto"/>
      </w:divBdr>
    </w:div>
    <w:div w:id="989597984">
      <w:bodyDiv w:val="1"/>
      <w:marLeft w:val="0"/>
      <w:marRight w:val="0"/>
      <w:marTop w:val="0"/>
      <w:marBottom w:val="0"/>
      <w:divBdr>
        <w:top w:val="none" w:sz="0" w:space="0" w:color="auto"/>
        <w:left w:val="none" w:sz="0" w:space="0" w:color="auto"/>
        <w:bottom w:val="none" w:sz="0" w:space="0" w:color="auto"/>
        <w:right w:val="none" w:sz="0" w:space="0" w:color="auto"/>
      </w:divBdr>
      <w:divsChild>
        <w:div w:id="203183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5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022416">
      <w:bodyDiv w:val="1"/>
      <w:marLeft w:val="0"/>
      <w:marRight w:val="0"/>
      <w:marTop w:val="0"/>
      <w:marBottom w:val="0"/>
      <w:divBdr>
        <w:top w:val="none" w:sz="0" w:space="0" w:color="auto"/>
        <w:left w:val="none" w:sz="0" w:space="0" w:color="auto"/>
        <w:bottom w:val="none" w:sz="0" w:space="0" w:color="auto"/>
        <w:right w:val="none" w:sz="0" w:space="0" w:color="auto"/>
      </w:divBdr>
    </w:div>
    <w:div w:id="1249541866">
      <w:bodyDiv w:val="1"/>
      <w:marLeft w:val="0"/>
      <w:marRight w:val="0"/>
      <w:marTop w:val="0"/>
      <w:marBottom w:val="0"/>
      <w:divBdr>
        <w:top w:val="none" w:sz="0" w:space="0" w:color="auto"/>
        <w:left w:val="none" w:sz="0" w:space="0" w:color="auto"/>
        <w:bottom w:val="none" w:sz="0" w:space="0" w:color="auto"/>
        <w:right w:val="none" w:sz="0" w:space="0" w:color="auto"/>
      </w:divBdr>
    </w:div>
    <w:div w:id="1445462212">
      <w:bodyDiv w:val="1"/>
      <w:marLeft w:val="0"/>
      <w:marRight w:val="0"/>
      <w:marTop w:val="0"/>
      <w:marBottom w:val="0"/>
      <w:divBdr>
        <w:top w:val="none" w:sz="0" w:space="0" w:color="auto"/>
        <w:left w:val="none" w:sz="0" w:space="0" w:color="auto"/>
        <w:bottom w:val="none" w:sz="0" w:space="0" w:color="auto"/>
        <w:right w:val="none" w:sz="0" w:space="0" w:color="auto"/>
      </w:divBdr>
    </w:div>
    <w:div w:id="190783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en21.rotcloud.com/index.php/s/TjK2sVb1nsjXdQ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ren21.net/gs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laura.williamson@ren21.net"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ana.adib@ren21.ne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www.ren21.ne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www.ren21.ne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www.ren21.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5F69C-3DEE-42CF-B0ED-E7F09457F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Parvulescu</dc:creator>
  <cp:lastModifiedBy>Anna Nilsson</cp:lastModifiedBy>
  <cp:revision>8</cp:revision>
  <cp:lastPrinted>2013-08-12T14:57:00Z</cp:lastPrinted>
  <dcterms:created xsi:type="dcterms:W3CDTF">2018-05-29T11:14:00Z</dcterms:created>
  <dcterms:modified xsi:type="dcterms:W3CDTF">2018-05-31T12:23:00Z</dcterms:modified>
</cp:coreProperties>
</file>